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8BEA" w14:textId="0A8C32D7" w:rsidR="00350439" w:rsidRPr="009304A0" w:rsidRDefault="00531A32" w:rsidP="00350439">
      <w:pPr>
        <w:spacing w:line="288" w:lineRule="auto"/>
        <w:jc w:val="center"/>
        <w:rPr>
          <w:rFonts w:ascii="Verdana" w:hAnsi="Verdana"/>
        </w:rPr>
      </w:pPr>
      <w:r>
        <w:rPr>
          <w:rFonts w:ascii="Verdana" w:hAnsi="Verdana"/>
          <w:noProof/>
          <w:lang w:val="en-NZ" w:eastAsia="en-NZ"/>
        </w:rPr>
        <w:drawing>
          <wp:inline distT="0" distB="0" distL="0" distR="0" wp14:anchorId="0560EE8C" wp14:editId="3F871D86">
            <wp:extent cx="3457575" cy="3886200"/>
            <wp:effectExtent l="19050" t="0" r="9525" b="0"/>
            <wp:docPr id="1" name="Picture 1" descr="Vector_ve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_ver_pos"/>
                    <pic:cNvPicPr>
                      <a:picLocks noChangeAspect="1" noChangeArrowheads="1"/>
                    </pic:cNvPicPr>
                  </pic:nvPicPr>
                  <pic:blipFill>
                    <a:blip r:embed="rId9" cstate="print"/>
                    <a:srcRect/>
                    <a:stretch>
                      <a:fillRect/>
                    </a:stretch>
                  </pic:blipFill>
                  <pic:spPr bwMode="auto">
                    <a:xfrm>
                      <a:off x="0" y="0"/>
                      <a:ext cx="3457575" cy="3886200"/>
                    </a:xfrm>
                    <a:prstGeom prst="rect">
                      <a:avLst/>
                    </a:prstGeom>
                    <a:noFill/>
                    <a:ln w="9525">
                      <a:noFill/>
                      <a:miter lim="800000"/>
                      <a:headEnd/>
                      <a:tailEnd/>
                    </a:ln>
                  </pic:spPr>
                </pic:pic>
              </a:graphicData>
            </a:graphic>
          </wp:inline>
        </w:drawing>
      </w:r>
    </w:p>
    <w:p w14:paraId="301B8F2A" w14:textId="77777777" w:rsidR="00350439" w:rsidRPr="009304A0" w:rsidRDefault="00350439" w:rsidP="00350439">
      <w:pPr>
        <w:spacing w:line="288" w:lineRule="auto"/>
        <w:rPr>
          <w:rFonts w:ascii="Verdana" w:hAnsi="Verdana"/>
          <w:sz w:val="20"/>
        </w:rPr>
      </w:pPr>
    </w:p>
    <w:p w14:paraId="2C4FFB2D" w14:textId="77777777" w:rsidR="00FA7BC0" w:rsidRDefault="00FA7BC0" w:rsidP="00350439">
      <w:pPr>
        <w:spacing w:line="288" w:lineRule="auto"/>
        <w:jc w:val="center"/>
        <w:rPr>
          <w:rFonts w:ascii="Verdana" w:hAnsi="Verdana"/>
          <w:b/>
          <w:sz w:val="36"/>
          <w:szCs w:val="36"/>
          <w:lang w:val="en-NZ"/>
        </w:rPr>
      </w:pPr>
      <w:r>
        <w:rPr>
          <w:rFonts w:ascii="Verdana" w:hAnsi="Verdana"/>
          <w:b/>
          <w:sz w:val="36"/>
          <w:szCs w:val="36"/>
          <w:lang w:val="en-NZ"/>
        </w:rPr>
        <w:t xml:space="preserve">Further work on the cost of capital input methodologies </w:t>
      </w:r>
    </w:p>
    <w:p w14:paraId="1363BAAD" w14:textId="77777777" w:rsidR="00FA7BC0" w:rsidRDefault="00FA7BC0" w:rsidP="00350439">
      <w:pPr>
        <w:spacing w:line="288" w:lineRule="auto"/>
        <w:jc w:val="center"/>
        <w:rPr>
          <w:rFonts w:ascii="Verdana" w:hAnsi="Verdana"/>
          <w:b/>
          <w:sz w:val="36"/>
          <w:szCs w:val="36"/>
          <w:lang w:val="en-NZ"/>
        </w:rPr>
      </w:pPr>
    </w:p>
    <w:p w14:paraId="73FD43B4" w14:textId="77777777" w:rsidR="00FA7BC0" w:rsidRDefault="009B44C6" w:rsidP="00350439">
      <w:pPr>
        <w:spacing w:line="288" w:lineRule="auto"/>
        <w:jc w:val="center"/>
        <w:rPr>
          <w:rFonts w:ascii="Verdana" w:hAnsi="Verdana"/>
          <w:b/>
          <w:sz w:val="36"/>
          <w:szCs w:val="36"/>
          <w:lang w:val="en-NZ"/>
        </w:rPr>
      </w:pPr>
      <w:r>
        <w:rPr>
          <w:rFonts w:ascii="Verdana" w:hAnsi="Verdana"/>
          <w:b/>
          <w:sz w:val="36"/>
          <w:szCs w:val="36"/>
          <w:lang w:val="en-NZ"/>
        </w:rPr>
        <w:t>Submission to Commerce Commission on</w:t>
      </w:r>
    </w:p>
    <w:p w14:paraId="561B4DD2" w14:textId="77777777" w:rsidR="00350439" w:rsidRPr="009304A0" w:rsidRDefault="00FA7BC0" w:rsidP="00350439">
      <w:pPr>
        <w:spacing w:line="288" w:lineRule="auto"/>
        <w:jc w:val="center"/>
        <w:rPr>
          <w:rFonts w:ascii="Verdana" w:hAnsi="Verdana"/>
          <w:b/>
          <w:sz w:val="36"/>
          <w:szCs w:val="36"/>
        </w:rPr>
      </w:pPr>
      <w:proofErr w:type="gramStart"/>
      <w:r>
        <w:rPr>
          <w:rFonts w:ascii="Verdana" w:hAnsi="Verdana"/>
          <w:b/>
          <w:sz w:val="36"/>
          <w:szCs w:val="36"/>
          <w:lang w:val="en-NZ"/>
        </w:rPr>
        <w:t>process</w:t>
      </w:r>
      <w:proofErr w:type="gramEnd"/>
      <w:r>
        <w:rPr>
          <w:rFonts w:ascii="Verdana" w:hAnsi="Verdana"/>
          <w:b/>
          <w:sz w:val="36"/>
          <w:szCs w:val="36"/>
          <w:lang w:val="en-NZ"/>
        </w:rPr>
        <w:t xml:space="preserve"> update and invitation to provide evidence on the WACC percentile </w:t>
      </w:r>
    </w:p>
    <w:p w14:paraId="70854DD3" w14:textId="77777777" w:rsidR="00350439" w:rsidRPr="009304A0" w:rsidRDefault="00350439" w:rsidP="00350439">
      <w:pPr>
        <w:spacing w:line="288" w:lineRule="auto"/>
        <w:jc w:val="center"/>
        <w:rPr>
          <w:rFonts w:ascii="Verdana" w:hAnsi="Verdana"/>
          <w:b/>
          <w:sz w:val="28"/>
          <w:szCs w:val="28"/>
        </w:rPr>
      </w:pPr>
    </w:p>
    <w:p w14:paraId="45077E01" w14:textId="77777777" w:rsidR="00350439" w:rsidRPr="009304A0" w:rsidRDefault="00350439" w:rsidP="00350439">
      <w:pPr>
        <w:spacing w:line="288" w:lineRule="auto"/>
        <w:jc w:val="center"/>
        <w:rPr>
          <w:rFonts w:ascii="Verdana" w:hAnsi="Verdana"/>
          <w:b/>
          <w:sz w:val="28"/>
          <w:szCs w:val="28"/>
        </w:rPr>
      </w:pPr>
    </w:p>
    <w:p w14:paraId="4B79CAFF" w14:textId="77777777" w:rsidR="00350439" w:rsidRPr="009304A0" w:rsidRDefault="00350439" w:rsidP="00350439">
      <w:pPr>
        <w:spacing w:line="288" w:lineRule="auto"/>
        <w:jc w:val="center"/>
        <w:rPr>
          <w:rFonts w:ascii="Verdana" w:hAnsi="Verdana"/>
          <w:b/>
          <w:sz w:val="28"/>
          <w:szCs w:val="28"/>
        </w:rPr>
      </w:pPr>
    </w:p>
    <w:p w14:paraId="1A6D824A" w14:textId="224D139D" w:rsidR="00350439" w:rsidRPr="009304A0" w:rsidRDefault="0022629A" w:rsidP="00350439">
      <w:pPr>
        <w:spacing w:line="288" w:lineRule="auto"/>
        <w:jc w:val="center"/>
        <w:rPr>
          <w:rFonts w:ascii="Verdana" w:hAnsi="Verdana"/>
          <w:b/>
          <w:sz w:val="28"/>
          <w:szCs w:val="28"/>
        </w:rPr>
      </w:pPr>
      <w:r>
        <w:rPr>
          <w:rFonts w:ascii="Verdana" w:hAnsi="Verdana"/>
          <w:b/>
          <w:sz w:val="28"/>
          <w:szCs w:val="28"/>
        </w:rPr>
        <w:t xml:space="preserve">5 </w:t>
      </w:r>
      <w:r w:rsidR="0059511E">
        <w:rPr>
          <w:rFonts w:ascii="Verdana" w:hAnsi="Verdana"/>
          <w:b/>
          <w:sz w:val="28"/>
          <w:szCs w:val="28"/>
        </w:rPr>
        <w:t>May</w:t>
      </w:r>
      <w:r w:rsidR="009B44C6">
        <w:rPr>
          <w:rFonts w:ascii="Verdana" w:hAnsi="Verdana"/>
          <w:b/>
          <w:sz w:val="28"/>
          <w:szCs w:val="28"/>
        </w:rPr>
        <w:t xml:space="preserve"> 2014</w:t>
      </w:r>
    </w:p>
    <w:p w14:paraId="762C08B4" w14:textId="77777777" w:rsidR="00350439" w:rsidRPr="009304A0" w:rsidRDefault="00350439" w:rsidP="00350439">
      <w:pPr>
        <w:spacing w:line="288" w:lineRule="auto"/>
        <w:jc w:val="center"/>
        <w:rPr>
          <w:rFonts w:ascii="Verdana" w:hAnsi="Verdana"/>
          <w:b/>
          <w:sz w:val="28"/>
          <w:szCs w:val="28"/>
        </w:rPr>
      </w:pPr>
    </w:p>
    <w:p w14:paraId="1256C799" w14:textId="77777777" w:rsidR="00350439" w:rsidRPr="009304A0" w:rsidRDefault="00350439" w:rsidP="00350439">
      <w:pPr>
        <w:spacing w:line="288" w:lineRule="auto"/>
        <w:rPr>
          <w:rFonts w:ascii="Verdana" w:hAnsi="Verdana"/>
        </w:rPr>
      </w:pPr>
    </w:p>
    <w:p w14:paraId="2633E2C5" w14:textId="77777777" w:rsidR="00350439" w:rsidRPr="009304A0" w:rsidRDefault="00350439" w:rsidP="00350439">
      <w:pPr>
        <w:spacing w:line="288" w:lineRule="auto"/>
        <w:rPr>
          <w:rFonts w:ascii="Verdana" w:hAnsi="Verdana"/>
        </w:rPr>
        <w:sectPr w:rsidR="00350439" w:rsidRPr="009304A0">
          <w:pgSz w:w="11907" w:h="16840" w:code="9"/>
          <w:pgMar w:top="1418" w:right="1701" w:bottom="1134" w:left="1701" w:header="720" w:footer="720" w:gutter="0"/>
          <w:cols w:space="720"/>
          <w:docGrid w:linePitch="360"/>
        </w:sectPr>
      </w:pPr>
    </w:p>
    <w:p w14:paraId="2F8F5D29" w14:textId="77777777" w:rsidR="00350439" w:rsidRPr="009304A0" w:rsidRDefault="009B44C6" w:rsidP="00350439">
      <w:pPr>
        <w:spacing w:line="288" w:lineRule="auto"/>
        <w:rPr>
          <w:rFonts w:ascii="Verdana" w:hAnsi="Verdana"/>
          <w:b/>
          <w:sz w:val="20"/>
        </w:rPr>
      </w:pPr>
      <w:r>
        <w:rPr>
          <w:rFonts w:ascii="Verdana" w:hAnsi="Verdana"/>
          <w:b/>
          <w:sz w:val="20"/>
        </w:rPr>
        <w:lastRenderedPageBreak/>
        <w:t>CONTENTS</w:t>
      </w:r>
    </w:p>
    <w:p w14:paraId="29F5AD36" w14:textId="77777777" w:rsidR="00D706F0" w:rsidRPr="0086408B" w:rsidRDefault="005B7783" w:rsidP="0086408B">
      <w:pPr>
        <w:spacing w:after="120" w:line="288" w:lineRule="auto"/>
        <w:rPr>
          <w:rFonts w:ascii="Verdana" w:hAnsi="Verdana"/>
          <w:b/>
          <w:sz w:val="20"/>
          <w:lang w:val="en-NZ"/>
        </w:rPr>
      </w:pPr>
      <w:r w:rsidRPr="009304A0">
        <w:rPr>
          <w:rFonts w:ascii="Verdana" w:hAnsi="Verdana"/>
          <w:b/>
          <w:caps/>
          <w:sz w:val="20"/>
          <w:lang w:val="en-NZ"/>
        </w:rPr>
        <w:fldChar w:fldCharType="begin"/>
      </w:r>
      <w:r w:rsidR="009B44C6">
        <w:rPr>
          <w:rFonts w:ascii="Verdana" w:hAnsi="Verdana"/>
          <w:b/>
          <w:caps/>
          <w:sz w:val="20"/>
          <w:lang w:val="en-NZ"/>
        </w:rPr>
        <w:instrText xml:space="preserve"> GOTOBUTTON  </w:instrText>
      </w:r>
      <w:bookmarkStart w:id="0" w:name="_Toc221601999"/>
      <w:bookmarkStart w:id="1" w:name="_Toc221602230"/>
      <w:bookmarkStart w:id="2" w:name="_Toc221607170"/>
      <w:bookmarkStart w:id="3" w:name="_Toc221610404"/>
      <w:bookmarkStart w:id="4" w:name="_Toc221611060"/>
      <w:bookmarkStart w:id="5" w:name="_Toc382436791"/>
      <w:bookmarkStart w:id="6" w:name="_Toc382310052"/>
      <w:r w:rsidRPr="009304A0">
        <w:rPr>
          <w:rFonts w:ascii="Verdana" w:hAnsi="Verdana"/>
          <w:b/>
          <w:caps/>
          <w:sz w:val="20"/>
          <w:lang w:val="en-NZ"/>
        </w:rPr>
        <w:fldChar w:fldCharType="end"/>
      </w:r>
      <w:bookmarkEnd w:id="0"/>
      <w:bookmarkEnd w:id="1"/>
      <w:bookmarkEnd w:id="2"/>
      <w:bookmarkEnd w:id="3"/>
      <w:bookmarkEnd w:id="4"/>
      <w:bookmarkEnd w:id="5"/>
      <w:bookmarkEnd w:id="6"/>
    </w:p>
    <w:p w14:paraId="3040F3F2" w14:textId="77777777" w:rsidR="004C7F09" w:rsidRPr="004C7F09" w:rsidRDefault="005B7783">
      <w:pPr>
        <w:pStyle w:val="TOC1"/>
        <w:rPr>
          <w:rFonts w:ascii="Verdana" w:eastAsiaTheme="minorEastAsia" w:hAnsi="Verdana" w:cstheme="minorBidi"/>
          <w:noProof/>
          <w:szCs w:val="22"/>
          <w:lang w:val="en-NZ" w:eastAsia="en-NZ"/>
        </w:rPr>
      </w:pPr>
      <w:r>
        <w:rPr>
          <w:rFonts w:ascii="Verdana" w:hAnsi="Verdana"/>
          <w:b/>
          <w:szCs w:val="22"/>
          <w:lang w:val="en-NZ"/>
        </w:rPr>
        <w:fldChar w:fldCharType="begin"/>
      </w:r>
      <w:r w:rsidR="0018286C">
        <w:rPr>
          <w:rFonts w:ascii="Verdana" w:hAnsi="Verdana"/>
          <w:b/>
          <w:szCs w:val="22"/>
          <w:lang w:val="en-NZ"/>
        </w:rPr>
        <w:instrText xml:space="preserve"> TOC \o "1-3" \h \z \u </w:instrText>
      </w:r>
      <w:r>
        <w:rPr>
          <w:rFonts w:ascii="Verdana" w:hAnsi="Verdana"/>
          <w:b/>
          <w:szCs w:val="22"/>
          <w:lang w:val="en-NZ"/>
        </w:rPr>
        <w:fldChar w:fldCharType="separate"/>
      </w:r>
      <w:hyperlink w:anchor="_Toc387068636" w:history="1">
        <w:r w:rsidR="004C7F09" w:rsidRPr="004C7F09">
          <w:rPr>
            <w:rStyle w:val="Hyperlink"/>
            <w:rFonts w:ascii="Verdana" w:hAnsi="Verdana"/>
            <w:noProof/>
            <w:lang w:val="en-NZ"/>
          </w:rPr>
          <w:t>Executive Summary</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_Toc387068636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3</w:t>
        </w:r>
        <w:r w:rsidR="004C7F09" w:rsidRPr="004C7F09">
          <w:rPr>
            <w:rFonts w:ascii="Verdana" w:hAnsi="Verdana"/>
            <w:noProof/>
            <w:webHidden/>
          </w:rPr>
          <w:fldChar w:fldCharType="end"/>
        </w:r>
      </w:hyperlink>
    </w:p>
    <w:p w14:paraId="3CBAC070" w14:textId="78AB78B8" w:rsidR="004C7F09" w:rsidRPr="004C7F09" w:rsidRDefault="004C7F09">
      <w:pPr>
        <w:pStyle w:val="TOC1"/>
        <w:rPr>
          <w:rStyle w:val="Hyperlink"/>
          <w:rFonts w:ascii="Verdana" w:hAnsi="Verdana"/>
          <w:noProof/>
        </w:rPr>
      </w:pPr>
    </w:p>
    <w:p w14:paraId="46DB4B47" w14:textId="77777777" w:rsidR="004C7F09" w:rsidRPr="004C7F09" w:rsidRDefault="00F54605" w:rsidP="004C7F09">
      <w:pPr>
        <w:pStyle w:val="TOC1"/>
        <w:ind w:left="426"/>
        <w:rPr>
          <w:rFonts w:ascii="Verdana" w:eastAsiaTheme="minorEastAsia" w:hAnsi="Verdana" w:cstheme="minorBidi"/>
          <w:noProof/>
          <w:szCs w:val="22"/>
          <w:lang w:val="en-NZ" w:eastAsia="en-NZ"/>
        </w:rPr>
      </w:pPr>
      <w:hyperlink w:anchor="_Toc387068637" w:history="1">
        <w:r w:rsidR="004C7F09" w:rsidRPr="004C7F09">
          <w:rPr>
            <w:rStyle w:val="Hyperlink"/>
            <w:rFonts w:ascii="Verdana" w:hAnsi="Verdana"/>
            <w:i/>
            <w:noProof/>
            <w:lang w:val="en-NZ"/>
          </w:rPr>
          <w:t xml:space="preserve">Strong conceptual </w:t>
        </w:r>
        <w:r w:rsidR="004C7F09" w:rsidRPr="004C7F09">
          <w:rPr>
            <w:rStyle w:val="Hyperlink"/>
            <w:rFonts w:ascii="Verdana" w:hAnsi="Verdana"/>
            <w:i/>
            <w:noProof/>
          </w:rPr>
          <w:t>support for WACC above midpoint</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_Toc387068637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3</w:t>
        </w:r>
        <w:r w:rsidR="004C7F09" w:rsidRPr="004C7F09">
          <w:rPr>
            <w:rFonts w:ascii="Verdana" w:hAnsi="Verdana"/>
            <w:noProof/>
            <w:webHidden/>
          </w:rPr>
          <w:fldChar w:fldCharType="end"/>
        </w:r>
      </w:hyperlink>
    </w:p>
    <w:p w14:paraId="63755D34" w14:textId="77777777" w:rsidR="004C7F09" w:rsidRPr="004C7F09" w:rsidRDefault="004C7F09">
      <w:pPr>
        <w:pStyle w:val="TOC1"/>
        <w:rPr>
          <w:rStyle w:val="Hyperlink"/>
          <w:rFonts w:ascii="Verdana" w:hAnsi="Verdana"/>
          <w:noProof/>
        </w:rPr>
      </w:pPr>
    </w:p>
    <w:p w14:paraId="65E3BDC1" w14:textId="77777777" w:rsidR="004C7F09" w:rsidRPr="004C7F09" w:rsidRDefault="00F54605" w:rsidP="004C7F09">
      <w:pPr>
        <w:pStyle w:val="TOC1"/>
        <w:ind w:left="426"/>
        <w:rPr>
          <w:rFonts w:ascii="Verdana" w:eastAsiaTheme="minorEastAsia" w:hAnsi="Verdana" w:cstheme="minorBidi"/>
          <w:noProof/>
          <w:szCs w:val="22"/>
          <w:lang w:val="en-NZ" w:eastAsia="en-NZ"/>
        </w:rPr>
      </w:pPr>
      <w:hyperlink w:anchor="_Toc387068638" w:history="1">
        <w:r w:rsidR="004C7F09" w:rsidRPr="004C7F09">
          <w:rPr>
            <w:rStyle w:val="Hyperlink"/>
            <w:rFonts w:ascii="Verdana" w:hAnsi="Verdana"/>
            <w:i/>
            <w:noProof/>
            <w:lang w:val="en-NZ"/>
          </w:rPr>
          <w:t>Evidence</w:t>
        </w:r>
        <w:r w:rsidR="004C7F09" w:rsidRPr="004C7F09">
          <w:rPr>
            <w:rStyle w:val="Hyperlink"/>
            <w:rFonts w:ascii="Verdana" w:hAnsi="Verdana"/>
            <w:i/>
            <w:noProof/>
          </w:rPr>
          <w:t xml:space="preserve"> </w:t>
        </w:r>
        <w:r w:rsidR="004C7F09" w:rsidRPr="004C7F09">
          <w:rPr>
            <w:rStyle w:val="Hyperlink"/>
            <w:rFonts w:ascii="Verdana" w:hAnsi="Verdana"/>
            <w:i/>
            <w:noProof/>
            <w:lang w:val="en-NZ"/>
          </w:rPr>
          <w:t>supports</w:t>
        </w:r>
        <w:r w:rsidR="004C7F09" w:rsidRPr="004C7F09">
          <w:rPr>
            <w:rStyle w:val="Hyperlink"/>
            <w:rFonts w:ascii="Verdana" w:hAnsi="Verdana"/>
            <w:i/>
            <w:noProof/>
          </w:rPr>
          <w:t xml:space="preserve"> 75</w:t>
        </w:r>
        <w:r w:rsidR="004C7F09" w:rsidRPr="004C7F09">
          <w:rPr>
            <w:rStyle w:val="Hyperlink"/>
            <w:rFonts w:ascii="Verdana" w:hAnsi="Verdana"/>
            <w:i/>
            <w:noProof/>
            <w:vertAlign w:val="superscript"/>
          </w:rPr>
          <w:t>th</w:t>
        </w:r>
        <w:r w:rsidR="004C7F09" w:rsidRPr="004C7F09">
          <w:rPr>
            <w:rStyle w:val="Hyperlink"/>
            <w:rFonts w:ascii="Verdana" w:hAnsi="Verdana"/>
            <w:i/>
            <w:noProof/>
          </w:rPr>
          <w:t xml:space="preserve"> percentile</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_Toc387068638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4</w:t>
        </w:r>
        <w:r w:rsidR="004C7F09" w:rsidRPr="004C7F09">
          <w:rPr>
            <w:rFonts w:ascii="Verdana" w:hAnsi="Verdana"/>
            <w:noProof/>
            <w:webHidden/>
          </w:rPr>
          <w:fldChar w:fldCharType="end"/>
        </w:r>
      </w:hyperlink>
    </w:p>
    <w:p w14:paraId="28858FE6" w14:textId="77777777" w:rsidR="004C7F09" w:rsidRPr="004C7F09" w:rsidRDefault="004C7F09">
      <w:pPr>
        <w:pStyle w:val="TOC1"/>
        <w:rPr>
          <w:rStyle w:val="Hyperlink"/>
          <w:rFonts w:ascii="Verdana" w:hAnsi="Verdana"/>
          <w:noProof/>
        </w:rPr>
      </w:pPr>
    </w:p>
    <w:p w14:paraId="6CF38295" w14:textId="77777777" w:rsidR="004C7F09" w:rsidRPr="004C7F09" w:rsidRDefault="00F54605">
      <w:pPr>
        <w:pStyle w:val="TOC1"/>
        <w:rPr>
          <w:rFonts w:ascii="Verdana" w:eastAsiaTheme="minorEastAsia" w:hAnsi="Verdana" w:cstheme="minorBidi"/>
          <w:noProof/>
          <w:szCs w:val="22"/>
          <w:lang w:val="en-NZ" w:eastAsia="en-NZ"/>
        </w:rPr>
      </w:pPr>
      <w:hyperlink w:anchor="_Toc387068639" w:history="1">
        <w:r w:rsidR="004C7F09" w:rsidRPr="004C7F09">
          <w:rPr>
            <w:rStyle w:val="Hyperlink"/>
            <w:rFonts w:ascii="Verdana" w:hAnsi="Verdana"/>
            <w:noProof/>
            <w:lang w:val="en-NZ"/>
          </w:rPr>
          <w:t>Introduction</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_Toc387068639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6</w:t>
        </w:r>
        <w:r w:rsidR="004C7F09" w:rsidRPr="004C7F09">
          <w:rPr>
            <w:rFonts w:ascii="Verdana" w:hAnsi="Verdana"/>
            <w:noProof/>
            <w:webHidden/>
          </w:rPr>
          <w:fldChar w:fldCharType="end"/>
        </w:r>
      </w:hyperlink>
    </w:p>
    <w:p w14:paraId="26EE35A2" w14:textId="77777777" w:rsidR="004C7F09" w:rsidRPr="004C7F09" w:rsidRDefault="004C7F09">
      <w:pPr>
        <w:pStyle w:val="TOC1"/>
        <w:rPr>
          <w:rStyle w:val="Hyperlink"/>
          <w:rFonts w:ascii="Verdana" w:hAnsi="Verdana"/>
          <w:noProof/>
        </w:rPr>
      </w:pPr>
    </w:p>
    <w:p w14:paraId="54E5766E" w14:textId="77777777" w:rsidR="004C7F09" w:rsidRPr="004C7F09" w:rsidRDefault="00F54605">
      <w:pPr>
        <w:pStyle w:val="TOC1"/>
        <w:rPr>
          <w:rFonts w:ascii="Verdana" w:eastAsiaTheme="minorEastAsia" w:hAnsi="Verdana" w:cstheme="minorBidi"/>
          <w:noProof/>
          <w:szCs w:val="22"/>
          <w:lang w:val="en-NZ" w:eastAsia="en-NZ"/>
        </w:rPr>
      </w:pPr>
      <w:hyperlink w:anchor="_Toc387068640" w:history="1">
        <w:r w:rsidR="004C7F09" w:rsidRPr="004C7F09">
          <w:rPr>
            <w:rStyle w:val="Hyperlink"/>
            <w:rFonts w:ascii="Verdana" w:hAnsi="Verdana"/>
            <w:noProof/>
            <w:lang w:val="en-NZ"/>
          </w:rPr>
          <w:t xml:space="preserve">Strong conceptual </w:t>
        </w:r>
        <w:r w:rsidR="004C7F09" w:rsidRPr="004C7F09">
          <w:rPr>
            <w:rStyle w:val="Hyperlink"/>
            <w:rFonts w:ascii="Verdana" w:hAnsi="Verdana"/>
            <w:noProof/>
          </w:rPr>
          <w:t>support for WACC above midpoint</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_Toc387068640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6</w:t>
        </w:r>
        <w:r w:rsidR="004C7F09" w:rsidRPr="004C7F09">
          <w:rPr>
            <w:rFonts w:ascii="Verdana" w:hAnsi="Verdana"/>
            <w:noProof/>
            <w:webHidden/>
          </w:rPr>
          <w:fldChar w:fldCharType="end"/>
        </w:r>
      </w:hyperlink>
    </w:p>
    <w:p w14:paraId="1B8C61D8" w14:textId="77777777" w:rsidR="004C7F09" w:rsidRPr="004C7F09" w:rsidRDefault="004C7F09">
      <w:pPr>
        <w:pStyle w:val="TOC1"/>
        <w:rPr>
          <w:rStyle w:val="Hyperlink"/>
          <w:rFonts w:ascii="Verdana" w:hAnsi="Verdana"/>
          <w:noProof/>
        </w:rPr>
      </w:pPr>
    </w:p>
    <w:p w14:paraId="01FD2DCF" w14:textId="77777777" w:rsidR="004C7F09" w:rsidRPr="004C7F09" w:rsidRDefault="00F54605">
      <w:pPr>
        <w:pStyle w:val="TOC1"/>
        <w:rPr>
          <w:rFonts w:ascii="Verdana" w:eastAsiaTheme="minorEastAsia" w:hAnsi="Verdana" w:cstheme="minorBidi"/>
          <w:noProof/>
          <w:szCs w:val="22"/>
          <w:lang w:val="en-NZ" w:eastAsia="en-NZ"/>
        </w:rPr>
      </w:pPr>
      <w:hyperlink w:anchor="_Toc387068641" w:history="1">
        <w:r w:rsidR="004C7F09" w:rsidRPr="004C7F09">
          <w:rPr>
            <w:rStyle w:val="Hyperlink"/>
            <w:rFonts w:ascii="Verdana" w:hAnsi="Verdana"/>
            <w:noProof/>
            <w:lang w:val="en-NZ"/>
          </w:rPr>
          <w:t>Allowance</w:t>
        </w:r>
        <w:r w:rsidR="004C7F09" w:rsidRPr="004C7F09">
          <w:rPr>
            <w:rStyle w:val="Hyperlink"/>
            <w:rFonts w:ascii="Verdana" w:hAnsi="Verdana"/>
            <w:noProof/>
          </w:rPr>
          <w:t xml:space="preserve"> for </w:t>
        </w:r>
        <w:r w:rsidR="004C7F09" w:rsidRPr="004C7F09">
          <w:rPr>
            <w:rStyle w:val="Hyperlink"/>
            <w:rFonts w:ascii="Verdana" w:hAnsi="Verdana"/>
            <w:noProof/>
            <w:lang w:val="en-NZ"/>
          </w:rPr>
          <w:t>asymmetric</w:t>
        </w:r>
        <w:r w:rsidR="004C7F09" w:rsidRPr="004C7F09">
          <w:rPr>
            <w:rStyle w:val="Hyperlink"/>
            <w:rFonts w:ascii="Verdana" w:hAnsi="Verdana"/>
            <w:noProof/>
          </w:rPr>
          <w:t xml:space="preserve"> costs consistent with Part 4 Purpose</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_Toc387068641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8</w:t>
        </w:r>
        <w:r w:rsidR="004C7F09" w:rsidRPr="004C7F09">
          <w:rPr>
            <w:rFonts w:ascii="Verdana" w:hAnsi="Verdana"/>
            <w:noProof/>
            <w:webHidden/>
          </w:rPr>
          <w:fldChar w:fldCharType="end"/>
        </w:r>
      </w:hyperlink>
    </w:p>
    <w:p w14:paraId="739254B6" w14:textId="77777777" w:rsidR="004C7F09" w:rsidRPr="004C7F09" w:rsidRDefault="004C7F09">
      <w:pPr>
        <w:pStyle w:val="TOC1"/>
        <w:rPr>
          <w:rStyle w:val="Hyperlink"/>
          <w:rFonts w:ascii="Verdana" w:hAnsi="Verdana"/>
          <w:noProof/>
        </w:rPr>
      </w:pPr>
    </w:p>
    <w:p w14:paraId="68D31B7D" w14:textId="77777777" w:rsidR="004C7F09" w:rsidRPr="004C7F09" w:rsidRDefault="00F54605" w:rsidP="004C7F09">
      <w:pPr>
        <w:pStyle w:val="TOC1"/>
        <w:ind w:left="426"/>
        <w:rPr>
          <w:rFonts w:ascii="Verdana" w:eastAsiaTheme="minorEastAsia" w:hAnsi="Verdana" w:cstheme="minorBidi"/>
          <w:noProof/>
          <w:szCs w:val="22"/>
          <w:lang w:val="en-NZ" w:eastAsia="en-NZ"/>
        </w:rPr>
      </w:pPr>
      <w:hyperlink w:anchor="_Toc387068642" w:history="1">
        <w:r w:rsidR="004C7F09" w:rsidRPr="004C7F09">
          <w:rPr>
            <w:rStyle w:val="Hyperlink"/>
            <w:rFonts w:ascii="Verdana" w:hAnsi="Verdana"/>
            <w:i/>
            <w:noProof/>
          </w:rPr>
          <w:t>Merits review judgment</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_Toc387068642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9</w:t>
        </w:r>
        <w:r w:rsidR="004C7F09" w:rsidRPr="004C7F09">
          <w:rPr>
            <w:rFonts w:ascii="Verdana" w:hAnsi="Verdana"/>
            <w:noProof/>
            <w:webHidden/>
          </w:rPr>
          <w:fldChar w:fldCharType="end"/>
        </w:r>
      </w:hyperlink>
    </w:p>
    <w:p w14:paraId="4FC8C1A1" w14:textId="77777777" w:rsidR="004C7F09" w:rsidRPr="004C7F09" w:rsidRDefault="004C7F09">
      <w:pPr>
        <w:pStyle w:val="TOC1"/>
        <w:rPr>
          <w:rStyle w:val="Hyperlink"/>
          <w:rFonts w:ascii="Verdana" w:hAnsi="Verdana"/>
          <w:noProof/>
        </w:rPr>
      </w:pPr>
    </w:p>
    <w:p w14:paraId="05D27A96" w14:textId="77777777" w:rsidR="004C7F09" w:rsidRPr="004C7F09" w:rsidRDefault="00F54605">
      <w:pPr>
        <w:pStyle w:val="TOC1"/>
        <w:rPr>
          <w:rFonts w:ascii="Verdana" w:eastAsiaTheme="minorEastAsia" w:hAnsi="Verdana" w:cstheme="minorBidi"/>
          <w:noProof/>
          <w:szCs w:val="22"/>
          <w:lang w:val="en-NZ" w:eastAsia="en-NZ"/>
        </w:rPr>
      </w:pPr>
      <w:hyperlink w:anchor="_Toc387068643" w:history="1">
        <w:r w:rsidR="004C7F09" w:rsidRPr="004C7F09">
          <w:rPr>
            <w:rStyle w:val="Hyperlink"/>
            <w:rFonts w:ascii="Verdana" w:hAnsi="Verdana"/>
            <w:noProof/>
            <w:lang w:val="en-NZ"/>
          </w:rPr>
          <w:t>Evidence</w:t>
        </w:r>
        <w:r w:rsidR="004C7F09" w:rsidRPr="004C7F09">
          <w:rPr>
            <w:rStyle w:val="Hyperlink"/>
            <w:rFonts w:ascii="Verdana" w:hAnsi="Verdana"/>
            <w:noProof/>
          </w:rPr>
          <w:t xml:space="preserve"> </w:t>
        </w:r>
        <w:r w:rsidR="004C7F09" w:rsidRPr="004C7F09">
          <w:rPr>
            <w:rStyle w:val="Hyperlink"/>
            <w:rFonts w:ascii="Verdana" w:hAnsi="Verdana"/>
            <w:noProof/>
            <w:lang w:val="en-NZ"/>
          </w:rPr>
          <w:t>supports</w:t>
        </w:r>
        <w:r w:rsidR="004C7F09" w:rsidRPr="004C7F09">
          <w:rPr>
            <w:rStyle w:val="Hyperlink"/>
            <w:rFonts w:ascii="Verdana" w:hAnsi="Verdana"/>
            <w:noProof/>
          </w:rPr>
          <w:t xml:space="preserve"> 75</w:t>
        </w:r>
        <w:r w:rsidR="004C7F09" w:rsidRPr="004C7F09">
          <w:rPr>
            <w:rStyle w:val="Hyperlink"/>
            <w:rFonts w:ascii="Verdana" w:hAnsi="Verdana"/>
            <w:noProof/>
            <w:vertAlign w:val="superscript"/>
          </w:rPr>
          <w:t>th</w:t>
        </w:r>
        <w:r w:rsidR="004C7F09" w:rsidRPr="004C7F09">
          <w:rPr>
            <w:rStyle w:val="Hyperlink"/>
            <w:rFonts w:ascii="Verdana" w:hAnsi="Verdana"/>
            <w:noProof/>
          </w:rPr>
          <w:t xml:space="preserve"> percentile</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_Toc387068643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10</w:t>
        </w:r>
        <w:r w:rsidR="004C7F09" w:rsidRPr="004C7F09">
          <w:rPr>
            <w:rFonts w:ascii="Verdana" w:hAnsi="Verdana"/>
            <w:noProof/>
            <w:webHidden/>
          </w:rPr>
          <w:fldChar w:fldCharType="end"/>
        </w:r>
      </w:hyperlink>
    </w:p>
    <w:p w14:paraId="63B90C89" w14:textId="77777777" w:rsidR="004C7F09" w:rsidRPr="004C7F09" w:rsidRDefault="004C7F09">
      <w:pPr>
        <w:pStyle w:val="TOC1"/>
        <w:rPr>
          <w:rStyle w:val="Hyperlink"/>
          <w:rFonts w:ascii="Verdana" w:hAnsi="Verdana"/>
          <w:noProof/>
        </w:rPr>
      </w:pPr>
    </w:p>
    <w:p w14:paraId="76B56D62" w14:textId="77777777" w:rsidR="004C7F09" w:rsidRPr="004C7F09" w:rsidRDefault="00F54605" w:rsidP="004C7F09">
      <w:pPr>
        <w:pStyle w:val="TOC1"/>
        <w:ind w:left="426"/>
        <w:rPr>
          <w:rFonts w:ascii="Verdana" w:eastAsiaTheme="minorEastAsia" w:hAnsi="Verdana" w:cstheme="minorBidi"/>
          <w:noProof/>
          <w:szCs w:val="22"/>
          <w:lang w:val="en-NZ" w:eastAsia="en-NZ"/>
        </w:rPr>
      </w:pPr>
      <w:hyperlink w:anchor="_Toc387068644" w:history="1">
        <w:r w:rsidR="004C7F09" w:rsidRPr="004C7F09">
          <w:rPr>
            <w:rStyle w:val="Hyperlink"/>
            <w:rFonts w:ascii="Verdana" w:hAnsi="Verdana"/>
            <w:i/>
            <w:noProof/>
          </w:rPr>
          <w:t>Part 4 framework / regulatory best practice</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_Toc387068644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12</w:t>
        </w:r>
        <w:r w:rsidR="004C7F09" w:rsidRPr="004C7F09">
          <w:rPr>
            <w:rFonts w:ascii="Verdana" w:hAnsi="Verdana"/>
            <w:noProof/>
            <w:webHidden/>
          </w:rPr>
          <w:fldChar w:fldCharType="end"/>
        </w:r>
      </w:hyperlink>
    </w:p>
    <w:p w14:paraId="4D22D5CF" w14:textId="77777777" w:rsidR="004C7F09" w:rsidRPr="004C7F09" w:rsidRDefault="004C7F09">
      <w:pPr>
        <w:pStyle w:val="TOC1"/>
        <w:rPr>
          <w:rStyle w:val="Hyperlink"/>
          <w:rFonts w:ascii="Verdana" w:hAnsi="Verdana"/>
          <w:noProof/>
        </w:rPr>
      </w:pPr>
    </w:p>
    <w:p w14:paraId="29323ED7" w14:textId="77777777" w:rsidR="004C7F09" w:rsidRPr="004C7F09" w:rsidRDefault="00F54605" w:rsidP="004C7F09">
      <w:pPr>
        <w:pStyle w:val="TOC1"/>
        <w:ind w:left="426"/>
        <w:rPr>
          <w:rFonts w:ascii="Verdana" w:eastAsiaTheme="minorEastAsia" w:hAnsi="Verdana" w:cstheme="minorBidi"/>
          <w:noProof/>
          <w:szCs w:val="22"/>
          <w:lang w:val="en-NZ" w:eastAsia="en-NZ"/>
        </w:rPr>
      </w:pPr>
      <w:hyperlink w:anchor="_Toc387068645" w:history="1">
        <w:r w:rsidR="004C7F09" w:rsidRPr="004C7F09">
          <w:rPr>
            <w:rStyle w:val="Hyperlink"/>
            <w:rFonts w:ascii="Verdana" w:hAnsi="Verdana"/>
            <w:i/>
            <w:noProof/>
          </w:rPr>
          <w:t>Evidence is required that its reasoning was wrong before the Commission abandons its reasons for adopting the 75</w:t>
        </w:r>
        <w:r w:rsidR="004C7F09" w:rsidRPr="004C7F09">
          <w:rPr>
            <w:rStyle w:val="Hyperlink"/>
            <w:rFonts w:ascii="Verdana" w:hAnsi="Verdana"/>
            <w:i/>
            <w:noProof/>
            <w:vertAlign w:val="superscript"/>
          </w:rPr>
          <w:t>th</w:t>
        </w:r>
        <w:r w:rsidR="004C7F09" w:rsidRPr="004C7F09">
          <w:rPr>
            <w:rStyle w:val="Hyperlink"/>
            <w:rFonts w:ascii="Verdana" w:hAnsi="Verdana"/>
            <w:i/>
            <w:noProof/>
          </w:rPr>
          <w:t xml:space="preserve"> percentile</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_Toc387068645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13</w:t>
        </w:r>
        <w:r w:rsidR="004C7F09" w:rsidRPr="004C7F09">
          <w:rPr>
            <w:rFonts w:ascii="Verdana" w:hAnsi="Verdana"/>
            <w:noProof/>
            <w:webHidden/>
          </w:rPr>
          <w:fldChar w:fldCharType="end"/>
        </w:r>
      </w:hyperlink>
    </w:p>
    <w:p w14:paraId="4C715192" w14:textId="77777777" w:rsidR="004C7F09" w:rsidRPr="004C7F09" w:rsidRDefault="004C7F09">
      <w:pPr>
        <w:pStyle w:val="TOC1"/>
        <w:rPr>
          <w:rStyle w:val="Hyperlink"/>
          <w:rFonts w:ascii="Verdana" w:hAnsi="Verdana"/>
          <w:noProof/>
        </w:rPr>
      </w:pPr>
    </w:p>
    <w:p w14:paraId="07A189DD" w14:textId="5981996B" w:rsidR="004C7F09" w:rsidRPr="004C7F09" w:rsidRDefault="00F54605">
      <w:pPr>
        <w:pStyle w:val="TOC1"/>
        <w:rPr>
          <w:rFonts w:ascii="Verdana" w:eastAsiaTheme="minorEastAsia" w:hAnsi="Verdana" w:cstheme="minorBidi"/>
          <w:noProof/>
          <w:szCs w:val="22"/>
          <w:lang w:val="en-NZ" w:eastAsia="en-NZ"/>
        </w:rPr>
      </w:pPr>
      <w:hyperlink w:anchor="_Toc387068646" w:history="1">
        <w:r w:rsidR="004C7F09" w:rsidRPr="004C7F09">
          <w:rPr>
            <w:rStyle w:val="Hyperlink"/>
            <w:rFonts w:ascii="Verdana" w:hAnsi="Verdana"/>
            <w:noProof/>
          </w:rPr>
          <w:t>Process insufficiently robust</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_Toc387068646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13</w:t>
        </w:r>
        <w:r w:rsidR="004C7F09" w:rsidRPr="004C7F09">
          <w:rPr>
            <w:rFonts w:ascii="Verdana" w:hAnsi="Verdana"/>
            <w:noProof/>
            <w:webHidden/>
          </w:rPr>
          <w:fldChar w:fldCharType="end"/>
        </w:r>
      </w:hyperlink>
    </w:p>
    <w:p w14:paraId="40A6B3D0" w14:textId="77777777" w:rsidR="004C7F09" w:rsidRDefault="004C7F09">
      <w:pPr>
        <w:pStyle w:val="TOC1"/>
        <w:rPr>
          <w:rStyle w:val="Hyperlink"/>
          <w:rFonts w:ascii="Verdana" w:hAnsi="Verdana"/>
          <w:noProof/>
        </w:rPr>
      </w:pPr>
    </w:p>
    <w:p w14:paraId="5B3288E6" w14:textId="77777777" w:rsidR="004C7F09" w:rsidRPr="004C7F09" w:rsidRDefault="00F54605">
      <w:pPr>
        <w:pStyle w:val="TOC1"/>
        <w:rPr>
          <w:rFonts w:ascii="Verdana" w:eastAsiaTheme="minorEastAsia" w:hAnsi="Verdana" w:cstheme="minorBidi"/>
          <w:noProof/>
          <w:szCs w:val="22"/>
          <w:lang w:val="en-NZ" w:eastAsia="en-NZ"/>
        </w:rPr>
      </w:pPr>
      <w:hyperlink w:anchor="_Toc387068647" w:history="1">
        <w:r w:rsidR="004C7F09" w:rsidRPr="004C7F09">
          <w:rPr>
            <w:rStyle w:val="Hyperlink"/>
            <w:rFonts w:ascii="Verdana" w:hAnsi="Verdana"/>
            <w:noProof/>
            <w:lang w:val="en-NZ"/>
          </w:rPr>
          <w:t>Conclusion</w:t>
        </w:r>
        <w:r w:rsidR="004C7F09" w:rsidRPr="004C7F09">
          <w:rPr>
            <w:rFonts w:ascii="Verdana" w:hAnsi="Verdana"/>
            <w:noProof/>
            <w:webHidden/>
          </w:rPr>
          <w:tab/>
        </w:r>
        <w:r w:rsidR="004C7F09" w:rsidRPr="004C7F09">
          <w:rPr>
            <w:rFonts w:ascii="Verdana" w:hAnsi="Verdana"/>
            <w:noProof/>
            <w:webHidden/>
          </w:rPr>
          <w:fldChar w:fldCharType="begin"/>
        </w:r>
        <w:r w:rsidR="004C7F09" w:rsidRPr="004C7F09">
          <w:rPr>
            <w:rFonts w:ascii="Verdana" w:hAnsi="Verdana"/>
            <w:noProof/>
            <w:webHidden/>
          </w:rPr>
          <w:instrText xml:space="preserve"> PAGEREF _Toc387068647 \h </w:instrText>
        </w:r>
        <w:r w:rsidR="004C7F09" w:rsidRPr="004C7F09">
          <w:rPr>
            <w:rFonts w:ascii="Verdana" w:hAnsi="Verdana"/>
            <w:noProof/>
            <w:webHidden/>
          </w:rPr>
        </w:r>
        <w:r w:rsidR="004C7F09" w:rsidRPr="004C7F09">
          <w:rPr>
            <w:rFonts w:ascii="Verdana" w:hAnsi="Verdana"/>
            <w:noProof/>
            <w:webHidden/>
          </w:rPr>
          <w:fldChar w:fldCharType="separate"/>
        </w:r>
        <w:r w:rsidR="004C7F09" w:rsidRPr="004C7F09">
          <w:rPr>
            <w:rFonts w:ascii="Verdana" w:hAnsi="Verdana"/>
            <w:noProof/>
            <w:webHidden/>
          </w:rPr>
          <w:t>14</w:t>
        </w:r>
        <w:r w:rsidR="004C7F09" w:rsidRPr="004C7F09">
          <w:rPr>
            <w:rFonts w:ascii="Verdana" w:hAnsi="Verdana"/>
            <w:noProof/>
            <w:webHidden/>
          </w:rPr>
          <w:fldChar w:fldCharType="end"/>
        </w:r>
      </w:hyperlink>
    </w:p>
    <w:p w14:paraId="5E5E22AA" w14:textId="77777777" w:rsidR="00911401" w:rsidRPr="009304A0" w:rsidRDefault="005B7783" w:rsidP="00C53DD8">
      <w:pPr>
        <w:spacing w:after="120" w:line="288" w:lineRule="auto"/>
        <w:rPr>
          <w:rFonts w:ascii="Verdana" w:hAnsi="Verdana"/>
          <w:b/>
          <w:sz w:val="20"/>
          <w:lang w:val="en-NZ"/>
        </w:rPr>
      </w:pPr>
      <w:r>
        <w:rPr>
          <w:rFonts w:ascii="Verdana" w:hAnsi="Verdana"/>
          <w:b/>
          <w:szCs w:val="22"/>
          <w:lang w:val="en-NZ"/>
        </w:rPr>
        <w:fldChar w:fldCharType="end"/>
      </w:r>
    </w:p>
    <w:p w14:paraId="5C64ABA6" w14:textId="77777777" w:rsidR="00C53DD8" w:rsidRPr="009304A0" w:rsidRDefault="00C53DD8" w:rsidP="00C53DD8">
      <w:pPr>
        <w:spacing w:line="288" w:lineRule="auto"/>
        <w:rPr>
          <w:rFonts w:ascii="Verdana" w:hAnsi="Verdana"/>
          <w:sz w:val="20"/>
          <w:lang w:val="en-NZ"/>
        </w:rPr>
      </w:pPr>
    </w:p>
    <w:p w14:paraId="1D19DB9E" w14:textId="77777777" w:rsidR="006D4B79" w:rsidRPr="00BC4DE9" w:rsidRDefault="002C151E" w:rsidP="0034723F">
      <w:pPr>
        <w:pStyle w:val="Heading1"/>
        <w:spacing w:before="120" w:after="240" w:line="240" w:lineRule="auto"/>
        <w:rPr>
          <w:rFonts w:ascii="Verdana" w:hAnsi="Verdana"/>
          <w:sz w:val="20"/>
          <w:szCs w:val="20"/>
          <w:lang w:val="en-NZ"/>
        </w:rPr>
      </w:pPr>
      <w:r w:rsidRPr="002C151E">
        <w:rPr>
          <w:rFonts w:ascii="Verdana" w:hAnsi="Verdana"/>
          <w:sz w:val="20"/>
          <w:szCs w:val="20"/>
          <w:lang w:val="en-NZ"/>
        </w:rPr>
        <w:br w:type="page"/>
      </w:r>
      <w:bookmarkStart w:id="7" w:name="_Toc382310053"/>
      <w:bookmarkStart w:id="8" w:name="_Toc387068636"/>
      <w:r w:rsidRPr="00BC4DE9">
        <w:rPr>
          <w:rFonts w:ascii="Verdana" w:hAnsi="Verdana"/>
          <w:sz w:val="20"/>
          <w:szCs w:val="20"/>
          <w:lang w:val="en-NZ"/>
        </w:rPr>
        <w:lastRenderedPageBreak/>
        <w:t>Executive Summary</w:t>
      </w:r>
      <w:bookmarkEnd w:id="7"/>
      <w:bookmarkEnd w:id="8"/>
    </w:p>
    <w:p w14:paraId="040B0DD9" w14:textId="77777777" w:rsidR="00F130E4" w:rsidRPr="00BC4DE9" w:rsidRDefault="00F130E4" w:rsidP="00F130E4">
      <w:pPr>
        <w:numPr>
          <w:ilvl w:val="0"/>
          <w:numId w:val="1"/>
        </w:numPr>
        <w:spacing w:before="120" w:after="120" w:line="312" w:lineRule="auto"/>
        <w:rPr>
          <w:rFonts w:ascii="Verdana" w:hAnsi="Verdana"/>
          <w:sz w:val="20"/>
          <w:lang w:val="en-NZ"/>
        </w:rPr>
      </w:pPr>
      <w:r w:rsidRPr="00BC4DE9">
        <w:rPr>
          <w:rFonts w:ascii="Verdana" w:hAnsi="Verdana"/>
          <w:sz w:val="20"/>
          <w:lang w:val="en-NZ"/>
        </w:rPr>
        <w:t>The Commission is seeking submissions providing:</w:t>
      </w:r>
    </w:p>
    <w:p w14:paraId="371F0251" w14:textId="77777777" w:rsidR="00F130E4" w:rsidRPr="00BC4DE9" w:rsidRDefault="00F130E4" w:rsidP="00F130E4">
      <w:pPr>
        <w:numPr>
          <w:ilvl w:val="1"/>
          <w:numId w:val="1"/>
        </w:numPr>
        <w:tabs>
          <w:tab w:val="clear" w:pos="328"/>
          <w:tab w:val="num" w:pos="1134"/>
        </w:tabs>
        <w:spacing w:before="120" w:after="120" w:line="312" w:lineRule="auto"/>
        <w:ind w:left="1134" w:hanging="425"/>
        <w:rPr>
          <w:rFonts w:ascii="Verdana" w:hAnsi="Verdana"/>
          <w:sz w:val="20"/>
          <w:lang w:val="en-NZ"/>
        </w:rPr>
      </w:pPr>
      <w:r w:rsidRPr="00BC4DE9">
        <w:rPr>
          <w:rFonts w:ascii="Verdana" w:hAnsi="Verdana"/>
          <w:sz w:val="20"/>
        </w:rPr>
        <w:t>empirical</w:t>
      </w:r>
      <w:r w:rsidRPr="00BC4DE9">
        <w:rPr>
          <w:rFonts w:ascii="Verdana" w:hAnsi="Verdana"/>
          <w:sz w:val="20"/>
          <w:lang w:val="en-NZ"/>
        </w:rPr>
        <w:t xml:space="preserve"> or analytical evidence regarding the appropriate WACC percentile; and</w:t>
      </w:r>
    </w:p>
    <w:p w14:paraId="3BA8B804" w14:textId="77777777" w:rsidR="00F130E4" w:rsidRPr="00BC4DE9" w:rsidRDefault="00F130E4" w:rsidP="00F130E4">
      <w:pPr>
        <w:numPr>
          <w:ilvl w:val="1"/>
          <w:numId w:val="1"/>
        </w:numPr>
        <w:tabs>
          <w:tab w:val="clear" w:pos="328"/>
          <w:tab w:val="num" w:pos="1134"/>
        </w:tabs>
        <w:spacing w:before="120" w:after="120" w:line="312" w:lineRule="auto"/>
        <w:ind w:left="1134" w:hanging="425"/>
        <w:rPr>
          <w:rFonts w:ascii="Verdana" w:hAnsi="Verdana"/>
          <w:sz w:val="20"/>
          <w:lang w:val="en-NZ"/>
        </w:rPr>
      </w:pPr>
      <w:proofErr w:type="gramStart"/>
      <w:r w:rsidRPr="00BC4DE9">
        <w:rPr>
          <w:rFonts w:ascii="Verdana" w:hAnsi="Verdana"/>
          <w:sz w:val="20"/>
          <w:lang w:val="en-NZ"/>
        </w:rPr>
        <w:t>any</w:t>
      </w:r>
      <w:proofErr w:type="gramEnd"/>
      <w:r w:rsidRPr="00BC4DE9">
        <w:rPr>
          <w:rFonts w:ascii="Verdana" w:hAnsi="Verdana"/>
          <w:sz w:val="20"/>
          <w:lang w:val="en-NZ"/>
        </w:rPr>
        <w:t xml:space="preserve"> additional considerations (supported by evidence) that differ </w:t>
      </w:r>
      <w:r w:rsidRPr="00BC4DE9">
        <w:rPr>
          <w:rFonts w:ascii="Verdana" w:hAnsi="Verdana"/>
          <w:sz w:val="20"/>
        </w:rPr>
        <w:t>between</w:t>
      </w:r>
      <w:r w:rsidRPr="00BC4DE9">
        <w:rPr>
          <w:rFonts w:ascii="Verdana" w:hAnsi="Verdana"/>
          <w:sz w:val="20"/>
          <w:lang w:val="en-NZ"/>
        </w:rPr>
        <w:t xml:space="preserve"> sectors and might affect the appropriate percentile.</w:t>
      </w:r>
    </w:p>
    <w:p w14:paraId="52A83C15" w14:textId="77777777" w:rsidR="00F130E4" w:rsidRPr="00BC4DE9" w:rsidRDefault="00F130E4" w:rsidP="00F130E4">
      <w:pPr>
        <w:numPr>
          <w:ilvl w:val="0"/>
          <w:numId w:val="1"/>
        </w:numPr>
        <w:spacing w:before="120" w:after="120" w:line="312" w:lineRule="auto"/>
        <w:rPr>
          <w:rFonts w:ascii="Verdana" w:hAnsi="Verdana"/>
          <w:sz w:val="20"/>
          <w:lang w:val="en-NZ"/>
        </w:rPr>
      </w:pPr>
      <w:r w:rsidRPr="00BC4DE9">
        <w:rPr>
          <w:rFonts w:ascii="Verdana" w:hAnsi="Verdana"/>
          <w:sz w:val="20"/>
          <w:lang w:val="en-NZ"/>
        </w:rPr>
        <w:t xml:space="preserve">The Commission is not seeking submissions on the extent to which a two-tier approach to the WACC may be appropriate, or any other features of the WACC IM.  Accordingly </w:t>
      </w:r>
      <w:r w:rsidR="009153EC">
        <w:rPr>
          <w:rFonts w:ascii="Verdana" w:hAnsi="Verdana"/>
          <w:sz w:val="20"/>
          <w:lang w:val="en-NZ"/>
        </w:rPr>
        <w:t>Vector</w:t>
      </w:r>
      <w:r w:rsidR="009153EC" w:rsidRPr="00BC4DE9">
        <w:rPr>
          <w:rFonts w:ascii="Verdana" w:hAnsi="Verdana"/>
          <w:sz w:val="20"/>
          <w:lang w:val="en-NZ"/>
        </w:rPr>
        <w:t xml:space="preserve"> </w:t>
      </w:r>
      <w:r w:rsidRPr="00BC4DE9">
        <w:rPr>
          <w:rFonts w:ascii="Verdana" w:hAnsi="Verdana"/>
          <w:sz w:val="20"/>
          <w:lang w:val="en-NZ"/>
        </w:rPr>
        <w:t>do</w:t>
      </w:r>
      <w:r w:rsidR="009153EC">
        <w:rPr>
          <w:rFonts w:ascii="Verdana" w:hAnsi="Verdana"/>
          <w:sz w:val="20"/>
          <w:lang w:val="en-NZ"/>
        </w:rPr>
        <w:t>es</w:t>
      </w:r>
      <w:r w:rsidRPr="00BC4DE9">
        <w:rPr>
          <w:rFonts w:ascii="Verdana" w:hAnsi="Verdana"/>
          <w:sz w:val="20"/>
          <w:lang w:val="en-NZ"/>
        </w:rPr>
        <w:t xml:space="preserve"> not address those topics in this submission.</w:t>
      </w:r>
    </w:p>
    <w:p w14:paraId="1B15C82C" w14:textId="0B1F8471" w:rsidR="00107263" w:rsidRPr="00BC4DE9" w:rsidRDefault="00F23EF6" w:rsidP="00107263">
      <w:pPr>
        <w:numPr>
          <w:ilvl w:val="0"/>
          <w:numId w:val="1"/>
        </w:numPr>
        <w:spacing w:before="120" w:after="120" w:line="312" w:lineRule="auto"/>
        <w:rPr>
          <w:rFonts w:ascii="Verdana" w:hAnsi="Verdana"/>
          <w:sz w:val="20"/>
          <w:lang w:val="en-NZ"/>
        </w:rPr>
      </w:pPr>
      <w:r w:rsidRPr="00BC4DE9">
        <w:rPr>
          <w:rFonts w:ascii="Verdana" w:hAnsi="Verdana"/>
          <w:sz w:val="20"/>
          <w:lang w:val="en-NZ"/>
        </w:rPr>
        <w:t xml:space="preserve">As a first point, Vector reiterates its serious concerns about the robustness of the process being run by the Commission and the lack of </w:t>
      </w:r>
      <w:r w:rsidR="00BC57CF">
        <w:rPr>
          <w:rFonts w:ascii="Verdana" w:hAnsi="Verdana"/>
          <w:sz w:val="20"/>
          <w:lang w:val="en-NZ"/>
        </w:rPr>
        <w:t xml:space="preserve">a </w:t>
      </w:r>
      <w:r w:rsidRPr="00BC4DE9">
        <w:rPr>
          <w:rFonts w:ascii="Verdana" w:hAnsi="Verdana"/>
          <w:sz w:val="20"/>
          <w:lang w:val="en-NZ"/>
        </w:rPr>
        <w:t xml:space="preserve">sound basis for considering only one aspect of the WACC IM within such tight timeframes.  </w:t>
      </w:r>
      <w:r w:rsidR="00A1583B" w:rsidRPr="00BC4DE9">
        <w:rPr>
          <w:rFonts w:ascii="Verdana" w:hAnsi="Verdana"/>
          <w:sz w:val="20"/>
          <w:lang w:val="en-NZ"/>
        </w:rPr>
        <w:t xml:space="preserve"> </w:t>
      </w:r>
      <w:r w:rsidR="00EE5459">
        <w:rPr>
          <w:rFonts w:ascii="Verdana" w:hAnsi="Verdana"/>
          <w:sz w:val="20"/>
          <w:lang w:val="en-NZ"/>
        </w:rPr>
        <w:t>The</w:t>
      </w:r>
      <w:r w:rsidR="00573241">
        <w:rPr>
          <w:rFonts w:ascii="Verdana" w:hAnsi="Verdana"/>
          <w:sz w:val="20"/>
          <w:lang w:val="en-NZ"/>
        </w:rPr>
        <w:t xml:space="preserve"> expert report prepared by Sapere Research Group</w:t>
      </w:r>
      <w:r w:rsidR="00EE5459">
        <w:rPr>
          <w:rFonts w:ascii="Verdana" w:hAnsi="Verdana"/>
          <w:sz w:val="20"/>
          <w:lang w:val="en-NZ"/>
        </w:rPr>
        <w:t xml:space="preserve"> </w:t>
      </w:r>
      <w:r w:rsidR="00573241">
        <w:rPr>
          <w:rFonts w:ascii="Verdana" w:hAnsi="Verdana"/>
          <w:sz w:val="20"/>
          <w:lang w:val="en-NZ"/>
        </w:rPr>
        <w:t>(</w:t>
      </w:r>
      <w:r w:rsidR="00EE5459">
        <w:rPr>
          <w:rFonts w:ascii="Verdana" w:hAnsi="Verdana"/>
          <w:sz w:val="20"/>
          <w:lang w:val="en-NZ"/>
        </w:rPr>
        <w:t>Sapere report</w:t>
      </w:r>
      <w:r w:rsidR="00573241">
        <w:rPr>
          <w:rFonts w:ascii="Verdana" w:hAnsi="Verdana"/>
          <w:sz w:val="20"/>
          <w:lang w:val="en-NZ"/>
        </w:rPr>
        <w:t>)</w:t>
      </w:r>
      <w:r w:rsidR="00EE5459">
        <w:rPr>
          <w:rFonts w:ascii="Verdana" w:hAnsi="Verdana"/>
          <w:sz w:val="20"/>
          <w:lang w:val="en-NZ"/>
        </w:rPr>
        <w:t xml:space="preserve"> provided with this submission has been prepared </w:t>
      </w:r>
      <w:r w:rsidR="004928E9">
        <w:rPr>
          <w:rFonts w:ascii="Verdana" w:hAnsi="Verdana"/>
          <w:sz w:val="20"/>
          <w:lang w:val="en-NZ"/>
        </w:rPr>
        <w:t>with</w:t>
      </w:r>
      <w:r w:rsidR="00A1216A">
        <w:rPr>
          <w:rFonts w:ascii="Verdana" w:hAnsi="Verdana"/>
          <w:sz w:val="20"/>
          <w:lang w:val="en-NZ"/>
        </w:rPr>
        <w:t>in the time available</w:t>
      </w:r>
      <w:r w:rsidR="004928E9">
        <w:rPr>
          <w:rFonts w:ascii="Verdana" w:hAnsi="Verdana"/>
          <w:sz w:val="20"/>
          <w:lang w:val="en-NZ"/>
        </w:rPr>
        <w:t xml:space="preserve">.  Sapere </w:t>
      </w:r>
      <w:r w:rsidR="00EE5459">
        <w:rPr>
          <w:rFonts w:ascii="Verdana" w:hAnsi="Verdana"/>
          <w:sz w:val="20"/>
          <w:lang w:val="en-NZ"/>
        </w:rPr>
        <w:t>advise that</w:t>
      </w:r>
      <w:r w:rsidR="005B718C">
        <w:rPr>
          <w:rFonts w:ascii="Verdana" w:hAnsi="Verdana"/>
          <w:sz w:val="20"/>
          <w:lang w:val="en-NZ"/>
        </w:rPr>
        <w:t>, were more</w:t>
      </w:r>
      <w:r w:rsidR="00EE5459">
        <w:rPr>
          <w:rFonts w:ascii="Verdana" w:hAnsi="Verdana"/>
          <w:sz w:val="20"/>
          <w:lang w:val="en-NZ"/>
        </w:rPr>
        <w:t xml:space="preserve"> time</w:t>
      </w:r>
      <w:r w:rsidR="005B718C">
        <w:rPr>
          <w:rFonts w:ascii="Verdana" w:hAnsi="Verdana"/>
          <w:sz w:val="20"/>
          <w:lang w:val="en-NZ"/>
        </w:rPr>
        <w:t xml:space="preserve"> available,</w:t>
      </w:r>
      <w:r w:rsidR="005B718C" w:rsidRPr="005B718C">
        <w:t xml:space="preserve"> </w:t>
      </w:r>
      <w:r w:rsidR="005B718C" w:rsidRPr="00B471F5">
        <w:rPr>
          <w:rFonts w:ascii="Verdana" w:hAnsi="Verdana"/>
          <w:sz w:val="20"/>
        </w:rPr>
        <w:t>it should be feasible to refine the analysis to help the Commission identify the degree of margin above the 75</w:t>
      </w:r>
      <w:r w:rsidR="005B718C" w:rsidRPr="00B471F5">
        <w:rPr>
          <w:rFonts w:ascii="Verdana" w:hAnsi="Verdana"/>
          <w:sz w:val="20"/>
          <w:vertAlign w:val="superscript"/>
        </w:rPr>
        <w:t>th</w:t>
      </w:r>
      <w:r w:rsidR="005B718C" w:rsidRPr="00B471F5">
        <w:rPr>
          <w:rFonts w:ascii="Verdana" w:hAnsi="Verdana"/>
          <w:sz w:val="20"/>
        </w:rPr>
        <w:t xml:space="preserve"> percentile that would be necessary to achieve, on an expected basis, a welfare enhancing trade-off between the risk of understating WACC and the risk of overstating WACC</w:t>
      </w:r>
      <w:r w:rsidR="00F13E66">
        <w:rPr>
          <w:rFonts w:ascii="Verdana" w:hAnsi="Verdana"/>
          <w:sz w:val="20"/>
          <w:lang w:val="en-NZ"/>
        </w:rPr>
        <w:t>.</w:t>
      </w:r>
      <w:r w:rsidR="00A1216A" w:rsidRPr="00A1216A">
        <w:rPr>
          <w:rFonts w:ascii="Verdana" w:hAnsi="Verdana"/>
          <w:sz w:val="20"/>
          <w:lang w:val="en-NZ"/>
        </w:rPr>
        <w:t xml:space="preserve"> </w:t>
      </w:r>
    </w:p>
    <w:p w14:paraId="2DAD11F5" w14:textId="553DC092" w:rsidR="00BC4DE9" w:rsidRPr="00BC4DE9" w:rsidRDefault="00BC4DE9" w:rsidP="00BC4DE9">
      <w:pPr>
        <w:pStyle w:val="Heading1"/>
        <w:spacing w:before="120" w:after="240" w:line="240" w:lineRule="auto"/>
        <w:rPr>
          <w:rFonts w:ascii="Verdana" w:hAnsi="Verdana"/>
          <w:b w:val="0"/>
          <w:i/>
          <w:sz w:val="20"/>
          <w:lang w:val="en-NZ"/>
        </w:rPr>
      </w:pPr>
      <w:bookmarkStart w:id="9" w:name="_Toc387068637"/>
      <w:r w:rsidRPr="00BC4DE9">
        <w:rPr>
          <w:rFonts w:ascii="Verdana" w:hAnsi="Verdana"/>
          <w:b w:val="0"/>
          <w:i/>
          <w:sz w:val="20"/>
          <w:szCs w:val="20"/>
          <w:lang w:val="en-NZ"/>
        </w:rPr>
        <w:t xml:space="preserve">Strong </w:t>
      </w:r>
      <w:r w:rsidR="00A50304">
        <w:rPr>
          <w:rFonts w:ascii="Verdana" w:hAnsi="Verdana"/>
          <w:b w:val="0"/>
          <w:i/>
          <w:sz w:val="20"/>
          <w:szCs w:val="20"/>
          <w:lang w:val="en-NZ"/>
        </w:rPr>
        <w:t>conceptual</w:t>
      </w:r>
      <w:r w:rsidRPr="00BC4DE9">
        <w:rPr>
          <w:rFonts w:ascii="Verdana" w:hAnsi="Verdana"/>
          <w:b w:val="0"/>
          <w:i/>
          <w:sz w:val="20"/>
          <w:szCs w:val="20"/>
          <w:lang w:val="en-NZ"/>
        </w:rPr>
        <w:t xml:space="preserve"> </w:t>
      </w:r>
      <w:r w:rsidRPr="00BC4DE9">
        <w:rPr>
          <w:rFonts w:ascii="Verdana" w:hAnsi="Verdana"/>
          <w:b w:val="0"/>
          <w:i/>
          <w:sz w:val="20"/>
          <w:szCs w:val="20"/>
        </w:rPr>
        <w:t>support for WACC above midpoint</w:t>
      </w:r>
      <w:bookmarkEnd w:id="9"/>
    </w:p>
    <w:p w14:paraId="6396B2E7" w14:textId="4B9F504A" w:rsidR="00393549" w:rsidRDefault="00F91351" w:rsidP="00F130E4">
      <w:pPr>
        <w:numPr>
          <w:ilvl w:val="0"/>
          <w:numId w:val="1"/>
        </w:numPr>
        <w:spacing w:before="120" w:after="120" w:line="312" w:lineRule="auto"/>
        <w:rPr>
          <w:rFonts w:ascii="Verdana" w:hAnsi="Verdana"/>
          <w:sz w:val="20"/>
          <w:lang w:val="en-NZ"/>
        </w:rPr>
      </w:pPr>
      <w:r>
        <w:rPr>
          <w:rFonts w:ascii="Verdana" w:hAnsi="Verdana"/>
          <w:sz w:val="20"/>
        </w:rPr>
        <w:t xml:space="preserve">The starting point for the current consultation is that there is </w:t>
      </w:r>
      <w:r w:rsidRPr="00D534DA">
        <w:rPr>
          <w:rFonts w:ascii="Verdana" w:hAnsi="Verdana"/>
          <w:sz w:val="20"/>
        </w:rPr>
        <w:t xml:space="preserve">strong </w:t>
      </w:r>
      <w:r>
        <w:rPr>
          <w:rFonts w:ascii="Verdana" w:hAnsi="Verdana"/>
          <w:sz w:val="20"/>
        </w:rPr>
        <w:t xml:space="preserve">and broad-based </w:t>
      </w:r>
      <w:r w:rsidRPr="00D534DA">
        <w:rPr>
          <w:rFonts w:ascii="Verdana" w:hAnsi="Verdana"/>
          <w:sz w:val="20"/>
        </w:rPr>
        <w:t xml:space="preserve">support for </w:t>
      </w:r>
      <w:r>
        <w:rPr>
          <w:rFonts w:ascii="Verdana" w:hAnsi="Verdana"/>
          <w:sz w:val="20"/>
        </w:rPr>
        <w:t xml:space="preserve">setting </w:t>
      </w:r>
      <w:r w:rsidRPr="00D534DA">
        <w:rPr>
          <w:rFonts w:ascii="Verdana" w:hAnsi="Verdana"/>
          <w:sz w:val="20"/>
        </w:rPr>
        <w:t>the regulatory WACC above the midpoint estimate</w:t>
      </w:r>
      <w:r>
        <w:rPr>
          <w:rFonts w:ascii="Verdana" w:hAnsi="Verdana"/>
          <w:sz w:val="20"/>
        </w:rPr>
        <w:t xml:space="preserve">. </w:t>
      </w:r>
      <w:r w:rsidR="00393549">
        <w:rPr>
          <w:rFonts w:ascii="Verdana" w:hAnsi="Verdana"/>
          <w:sz w:val="20"/>
        </w:rPr>
        <w:t xml:space="preserve">This is </w:t>
      </w:r>
      <w:r w:rsidR="009D73DB">
        <w:rPr>
          <w:rFonts w:ascii="Verdana" w:hAnsi="Verdana"/>
          <w:sz w:val="20"/>
        </w:rPr>
        <w:t>primarily</w:t>
      </w:r>
      <w:r w:rsidR="00A50304">
        <w:rPr>
          <w:rFonts w:ascii="Verdana" w:hAnsi="Verdana"/>
          <w:sz w:val="20"/>
        </w:rPr>
        <w:t xml:space="preserve"> (but certainly not only)</w:t>
      </w:r>
      <w:r w:rsidR="009D73DB">
        <w:rPr>
          <w:rFonts w:ascii="Verdana" w:hAnsi="Verdana"/>
          <w:sz w:val="20"/>
        </w:rPr>
        <w:t xml:space="preserve"> </w:t>
      </w:r>
      <w:r w:rsidR="00393549">
        <w:rPr>
          <w:rFonts w:ascii="Verdana" w:hAnsi="Verdana"/>
          <w:sz w:val="20"/>
        </w:rPr>
        <w:t>on the basis</w:t>
      </w:r>
      <w:r w:rsidR="00393549">
        <w:rPr>
          <w:rFonts w:ascii="Verdana" w:hAnsi="Verdana"/>
          <w:sz w:val="20"/>
          <w:lang w:val="en-NZ"/>
        </w:rPr>
        <w:t xml:space="preserve"> </w:t>
      </w:r>
      <w:r w:rsidR="00C57BE6" w:rsidRPr="00BC4DE9">
        <w:rPr>
          <w:rFonts w:ascii="Verdana" w:hAnsi="Verdana"/>
          <w:sz w:val="20"/>
          <w:lang w:val="en-NZ"/>
        </w:rPr>
        <w:t>the costs to society of making incorrect decision</w:t>
      </w:r>
      <w:r w:rsidR="00C57BE6">
        <w:rPr>
          <w:rFonts w:ascii="Verdana" w:hAnsi="Verdana"/>
          <w:sz w:val="20"/>
          <w:lang w:val="en-NZ"/>
        </w:rPr>
        <w:t>s</w:t>
      </w:r>
      <w:r w:rsidR="00C57BE6" w:rsidRPr="00BC4DE9">
        <w:rPr>
          <w:rFonts w:ascii="Verdana" w:hAnsi="Verdana"/>
          <w:sz w:val="20"/>
          <w:lang w:val="en-NZ"/>
        </w:rPr>
        <w:t xml:space="preserve"> based on the WACC estimation are higher if WACC is underestimated than if it is overestimated</w:t>
      </w:r>
      <w:r w:rsidR="00393549">
        <w:rPr>
          <w:rFonts w:ascii="Verdana" w:hAnsi="Verdana"/>
          <w:sz w:val="20"/>
          <w:lang w:val="en-NZ"/>
        </w:rPr>
        <w:t xml:space="preserve">. </w:t>
      </w:r>
    </w:p>
    <w:p w14:paraId="275A2C06" w14:textId="77777777" w:rsidR="00F130E4" w:rsidRPr="00BC4DE9" w:rsidRDefault="00393549" w:rsidP="00F130E4">
      <w:pPr>
        <w:numPr>
          <w:ilvl w:val="0"/>
          <w:numId w:val="1"/>
        </w:numPr>
        <w:spacing w:before="120" w:after="120" w:line="312" w:lineRule="auto"/>
        <w:rPr>
          <w:rFonts w:ascii="Verdana" w:hAnsi="Verdana"/>
          <w:sz w:val="20"/>
          <w:lang w:val="en-NZ"/>
        </w:rPr>
      </w:pPr>
      <w:r>
        <w:rPr>
          <w:rFonts w:ascii="Verdana" w:hAnsi="Verdana"/>
          <w:sz w:val="20"/>
        </w:rPr>
        <w:t xml:space="preserve">The strong theoretical support for this proposition is </w:t>
      </w:r>
      <w:r w:rsidR="00F130E4" w:rsidRPr="00BC4DE9">
        <w:rPr>
          <w:rFonts w:ascii="Verdana" w:hAnsi="Verdana"/>
          <w:sz w:val="20"/>
          <w:lang w:val="en-NZ"/>
        </w:rPr>
        <w:t>evidenced by:</w:t>
      </w:r>
    </w:p>
    <w:p w14:paraId="4957AF6E" w14:textId="77777777" w:rsidR="00F130E4" w:rsidRPr="00BC4DE9" w:rsidRDefault="00BC57CF" w:rsidP="007B536C">
      <w:pPr>
        <w:numPr>
          <w:ilvl w:val="1"/>
          <w:numId w:val="1"/>
        </w:numPr>
        <w:tabs>
          <w:tab w:val="clear" w:pos="328"/>
          <w:tab w:val="num" w:pos="1134"/>
        </w:tabs>
        <w:spacing w:before="120" w:after="120" w:line="312" w:lineRule="auto"/>
        <w:ind w:left="1134" w:hanging="425"/>
        <w:rPr>
          <w:rFonts w:ascii="Verdana" w:hAnsi="Verdana"/>
          <w:sz w:val="20"/>
          <w:lang w:val="en-NZ"/>
        </w:rPr>
      </w:pPr>
      <w:r>
        <w:rPr>
          <w:rFonts w:ascii="Verdana" w:hAnsi="Verdana"/>
          <w:sz w:val="20"/>
          <w:lang w:val="en-NZ"/>
        </w:rPr>
        <w:t>p</w:t>
      </w:r>
      <w:r w:rsidR="00F130E4" w:rsidRPr="00BC4DE9">
        <w:rPr>
          <w:rFonts w:ascii="Verdana" w:hAnsi="Verdana"/>
          <w:sz w:val="20"/>
          <w:lang w:val="en-NZ"/>
        </w:rPr>
        <w:t>revious ex</w:t>
      </w:r>
      <w:r w:rsidR="00F8074A" w:rsidRPr="00BC4DE9">
        <w:rPr>
          <w:rFonts w:ascii="Verdana" w:hAnsi="Verdana"/>
          <w:sz w:val="20"/>
          <w:lang w:val="en-NZ"/>
        </w:rPr>
        <w:t>pert evidence provided to the Commission, including from the Commission</w:t>
      </w:r>
      <w:r w:rsidR="00F130E4" w:rsidRPr="00BC4DE9">
        <w:rPr>
          <w:rFonts w:ascii="Verdana" w:hAnsi="Verdana"/>
          <w:sz w:val="20"/>
          <w:lang w:val="en-NZ"/>
        </w:rPr>
        <w:t>'s own</w:t>
      </w:r>
      <w:r w:rsidR="007B536C" w:rsidRPr="00BC4DE9">
        <w:rPr>
          <w:rFonts w:ascii="Verdana" w:hAnsi="Verdana"/>
          <w:sz w:val="20"/>
          <w:lang w:val="en-NZ"/>
        </w:rPr>
        <w:t xml:space="preserve"> </w:t>
      </w:r>
      <w:r w:rsidR="007B536C" w:rsidRPr="00BC4DE9">
        <w:rPr>
          <w:rFonts w:ascii="Verdana" w:hAnsi="Verdana"/>
          <w:sz w:val="20"/>
        </w:rPr>
        <w:t>experts</w:t>
      </w:r>
      <w:r w:rsidR="00AC14BA" w:rsidRPr="00BC4DE9">
        <w:rPr>
          <w:rFonts w:ascii="Verdana" w:hAnsi="Verdana"/>
          <w:sz w:val="20"/>
        </w:rPr>
        <w:t xml:space="preserve">, and </w:t>
      </w:r>
      <w:r w:rsidR="00F8074A" w:rsidRPr="00BC4DE9">
        <w:rPr>
          <w:rFonts w:ascii="Verdana" w:hAnsi="Verdana"/>
          <w:sz w:val="20"/>
          <w:lang w:val="en-NZ"/>
        </w:rPr>
        <w:t>regulatory</w:t>
      </w:r>
      <w:r w:rsidR="00F130E4" w:rsidRPr="00BC4DE9">
        <w:rPr>
          <w:rFonts w:ascii="Verdana" w:hAnsi="Verdana"/>
          <w:sz w:val="20"/>
          <w:lang w:val="en-NZ"/>
        </w:rPr>
        <w:t xml:space="preserve"> prec</w:t>
      </w:r>
      <w:r w:rsidR="00AC14BA" w:rsidRPr="00BC4DE9">
        <w:rPr>
          <w:rFonts w:ascii="Verdana" w:hAnsi="Verdana"/>
          <w:sz w:val="20"/>
          <w:lang w:val="en-NZ"/>
        </w:rPr>
        <w:t>edent from other jurisdictions</w:t>
      </w:r>
      <w:r>
        <w:rPr>
          <w:rFonts w:ascii="Verdana" w:hAnsi="Verdana"/>
          <w:sz w:val="20"/>
          <w:lang w:val="en-NZ"/>
        </w:rPr>
        <w:t>; and</w:t>
      </w:r>
    </w:p>
    <w:p w14:paraId="43F1F337" w14:textId="77777777" w:rsidR="00F130E4" w:rsidRPr="00BC4DE9" w:rsidRDefault="00BC57CF" w:rsidP="00AC14BA">
      <w:pPr>
        <w:numPr>
          <w:ilvl w:val="1"/>
          <w:numId w:val="1"/>
        </w:numPr>
        <w:tabs>
          <w:tab w:val="clear" w:pos="328"/>
          <w:tab w:val="num" w:pos="1134"/>
        </w:tabs>
        <w:spacing w:before="120" w:after="120" w:line="312" w:lineRule="auto"/>
        <w:ind w:left="1134" w:hanging="425"/>
        <w:rPr>
          <w:rFonts w:ascii="Verdana" w:hAnsi="Verdana"/>
          <w:sz w:val="20"/>
          <w:lang w:val="en-NZ"/>
        </w:rPr>
      </w:pPr>
      <w:proofErr w:type="gramStart"/>
      <w:r>
        <w:rPr>
          <w:rFonts w:ascii="Verdana" w:hAnsi="Verdana"/>
          <w:sz w:val="20"/>
          <w:lang w:val="en-NZ"/>
        </w:rPr>
        <w:t>t</w:t>
      </w:r>
      <w:r w:rsidR="00F8074A" w:rsidRPr="00BC4DE9">
        <w:rPr>
          <w:rFonts w:ascii="Verdana" w:hAnsi="Verdana"/>
          <w:sz w:val="20"/>
          <w:lang w:val="en-NZ"/>
        </w:rPr>
        <w:t>he</w:t>
      </w:r>
      <w:proofErr w:type="gramEnd"/>
      <w:r w:rsidR="00F8074A" w:rsidRPr="00BC4DE9">
        <w:rPr>
          <w:rFonts w:ascii="Verdana" w:hAnsi="Verdana"/>
          <w:sz w:val="20"/>
          <w:lang w:val="en-NZ"/>
        </w:rPr>
        <w:t xml:space="preserve"> Commission'</w:t>
      </w:r>
      <w:r w:rsidR="00F130E4" w:rsidRPr="00BC4DE9">
        <w:rPr>
          <w:rFonts w:ascii="Verdana" w:hAnsi="Verdana"/>
          <w:sz w:val="20"/>
          <w:lang w:val="en-NZ"/>
        </w:rPr>
        <w:t>s own reasons in adopting the 75</w:t>
      </w:r>
      <w:r w:rsidR="009B55D4" w:rsidRPr="009B55D4">
        <w:rPr>
          <w:rFonts w:ascii="Verdana" w:hAnsi="Verdana"/>
          <w:sz w:val="20"/>
          <w:vertAlign w:val="superscript"/>
          <w:lang w:val="en-NZ"/>
        </w:rPr>
        <w:t>th</w:t>
      </w:r>
      <w:r w:rsidR="00F130E4" w:rsidRPr="00BC4DE9">
        <w:rPr>
          <w:rFonts w:ascii="Verdana" w:hAnsi="Verdana"/>
          <w:sz w:val="20"/>
          <w:lang w:val="en-NZ"/>
        </w:rPr>
        <w:t xml:space="preserve"> percentile. </w:t>
      </w:r>
    </w:p>
    <w:p w14:paraId="340C602B" w14:textId="38E3A204" w:rsidR="009D73DB" w:rsidRPr="00BC4DE9" w:rsidRDefault="00C57BE6" w:rsidP="009D73DB">
      <w:pPr>
        <w:numPr>
          <w:ilvl w:val="0"/>
          <w:numId w:val="1"/>
        </w:numPr>
        <w:spacing w:before="120" w:after="120" w:line="312" w:lineRule="auto"/>
        <w:rPr>
          <w:rFonts w:ascii="Verdana" w:hAnsi="Verdana"/>
          <w:sz w:val="20"/>
          <w:lang w:val="en-NZ"/>
        </w:rPr>
      </w:pPr>
      <w:r>
        <w:rPr>
          <w:rFonts w:ascii="Verdana" w:hAnsi="Verdana"/>
          <w:sz w:val="20"/>
          <w:lang w:val="en-NZ"/>
        </w:rPr>
        <w:t xml:space="preserve">The </w:t>
      </w:r>
      <w:r w:rsidR="00AC14BA" w:rsidRPr="00BC4DE9">
        <w:rPr>
          <w:rFonts w:ascii="Verdana" w:hAnsi="Verdana"/>
          <w:sz w:val="20"/>
          <w:lang w:val="en-NZ"/>
        </w:rPr>
        <w:t>Sapere report accompanying this submission</w:t>
      </w:r>
      <w:r w:rsidR="00B504B9" w:rsidRPr="00BC4DE9">
        <w:rPr>
          <w:rFonts w:ascii="Verdana" w:hAnsi="Verdana"/>
          <w:sz w:val="20"/>
          <w:lang w:val="en-NZ"/>
        </w:rPr>
        <w:t xml:space="preserve"> </w:t>
      </w:r>
      <w:r>
        <w:rPr>
          <w:rFonts w:ascii="Verdana" w:hAnsi="Verdana"/>
          <w:sz w:val="20"/>
          <w:lang w:val="en-NZ"/>
        </w:rPr>
        <w:t xml:space="preserve">further </w:t>
      </w:r>
      <w:r w:rsidR="00393549">
        <w:rPr>
          <w:rFonts w:ascii="Verdana" w:hAnsi="Verdana"/>
          <w:sz w:val="20"/>
          <w:lang w:val="en-NZ"/>
        </w:rPr>
        <w:t xml:space="preserve">considers the theoretical research and </w:t>
      </w:r>
      <w:r w:rsidR="00B504B9" w:rsidRPr="00BC4DE9">
        <w:rPr>
          <w:rFonts w:ascii="Verdana" w:hAnsi="Verdana"/>
          <w:sz w:val="20"/>
          <w:lang w:val="en-NZ"/>
        </w:rPr>
        <w:t>concludes that there</w:t>
      </w:r>
      <w:r w:rsidR="00573241">
        <w:rPr>
          <w:rFonts w:ascii="Verdana" w:hAnsi="Verdana"/>
          <w:sz w:val="20"/>
          <w:lang w:val="en-NZ"/>
        </w:rPr>
        <w:t xml:space="preserve"> is</w:t>
      </w:r>
      <w:r w:rsidR="00B504B9" w:rsidRPr="00BC4DE9">
        <w:rPr>
          <w:rFonts w:ascii="Verdana" w:hAnsi="Verdana"/>
          <w:sz w:val="20"/>
          <w:lang w:val="en-NZ"/>
        </w:rPr>
        <w:t xml:space="preserve"> </w:t>
      </w:r>
      <w:r w:rsidR="009D73DB">
        <w:rPr>
          <w:rFonts w:ascii="Verdana" w:hAnsi="Verdana"/>
          <w:sz w:val="20"/>
          <w:lang w:val="en-NZ"/>
        </w:rPr>
        <w:t xml:space="preserve">no </w:t>
      </w:r>
      <w:r w:rsidR="00B504B9" w:rsidRPr="00BC4DE9">
        <w:rPr>
          <w:rFonts w:ascii="Verdana" w:hAnsi="Verdana"/>
          <w:sz w:val="20"/>
          <w:lang w:val="en-NZ"/>
        </w:rPr>
        <w:t xml:space="preserve">doubt that asymmetric risk is real and important. </w:t>
      </w:r>
      <w:r w:rsidR="009D73DB">
        <w:rPr>
          <w:rFonts w:ascii="Verdana" w:hAnsi="Verdana"/>
          <w:sz w:val="20"/>
          <w:lang w:val="en-NZ"/>
        </w:rPr>
        <w:t xml:space="preserve"> Although there are limitations on the extent to which costs can be accurately quantified on a forward looking basis</w:t>
      </w:r>
      <w:r w:rsidR="00A50304">
        <w:rPr>
          <w:rFonts w:ascii="Verdana" w:hAnsi="Verdana"/>
          <w:sz w:val="20"/>
          <w:lang w:val="en-NZ"/>
        </w:rPr>
        <w:t xml:space="preserve"> (especially within the timeframes of this consultation)</w:t>
      </w:r>
      <w:r w:rsidR="009D73DB">
        <w:rPr>
          <w:rFonts w:ascii="Verdana" w:hAnsi="Verdana"/>
          <w:sz w:val="20"/>
          <w:lang w:val="en-NZ"/>
        </w:rPr>
        <w:t>, it is clear that costs of under-estimating WACC will heavily outweigh the costs of over-estimating.</w:t>
      </w:r>
      <w:r w:rsidR="009D73DB" w:rsidRPr="00BC4DE9">
        <w:rPr>
          <w:rFonts w:ascii="Verdana" w:hAnsi="Verdana"/>
          <w:sz w:val="20"/>
          <w:lang w:val="en-NZ"/>
        </w:rPr>
        <w:t xml:space="preserve"> </w:t>
      </w:r>
    </w:p>
    <w:p w14:paraId="59D22DA2" w14:textId="77777777" w:rsidR="00AD43C0" w:rsidRPr="00BC4DE9" w:rsidRDefault="000C34BA" w:rsidP="00D07D33">
      <w:pPr>
        <w:numPr>
          <w:ilvl w:val="0"/>
          <w:numId w:val="1"/>
        </w:numPr>
        <w:spacing w:before="120" w:after="120" w:line="312" w:lineRule="auto"/>
        <w:rPr>
          <w:rFonts w:ascii="Verdana" w:hAnsi="Verdana"/>
          <w:sz w:val="20"/>
        </w:rPr>
      </w:pPr>
      <w:r>
        <w:rPr>
          <w:rFonts w:ascii="Verdana" w:hAnsi="Verdana"/>
          <w:sz w:val="20"/>
        </w:rPr>
        <w:lastRenderedPageBreak/>
        <w:t xml:space="preserve">Given the above, </w:t>
      </w:r>
      <w:r w:rsidR="00AD43C0" w:rsidRPr="00BC4DE9">
        <w:rPr>
          <w:rFonts w:ascii="Verdana" w:hAnsi="Verdana"/>
          <w:sz w:val="20"/>
        </w:rPr>
        <w:t>set</w:t>
      </w:r>
      <w:r w:rsidR="00D07D33" w:rsidRPr="00BC4DE9">
        <w:rPr>
          <w:rFonts w:ascii="Verdana" w:hAnsi="Verdana"/>
          <w:sz w:val="20"/>
        </w:rPr>
        <w:t>ting the regulatory WACC above the midpoint estimate is consistent with the Part 4 purpose, and therefore an input methodology that does this is materially better at achieving the purpose than one that provides for a mid-point WACC</w:t>
      </w:r>
      <w:r w:rsidR="00AD43C0" w:rsidRPr="00BC4DE9">
        <w:rPr>
          <w:rFonts w:ascii="Verdana" w:hAnsi="Verdana"/>
          <w:sz w:val="20"/>
        </w:rPr>
        <w:t xml:space="preserve"> (this position being reflected in the current WACC IM and the Commission's reasoning)</w:t>
      </w:r>
      <w:r w:rsidR="00D07D33" w:rsidRPr="00BC4DE9">
        <w:rPr>
          <w:rFonts w:ascii="Verdana" w:hAnsi="Verdana"/>
          <w:sz w:val="20"/>
        </w:rPr>
        <w:t xml:space="preserve">.  </w:t>
      </w:r>
    </w:p>
    <w:p w14:paraId="6F2D7BC9" w14:textId="77777777" w:rsidR="00BC4DE9" w:rsidRPr="00BC4DE9" w:rsidRDefault="00BC4DE9" w:rsidP="00BC4DE9">
      <w:pPr>
        <w:pStyle w:val="Heading1"/>
        <w:spacing w:before="120" w:after="240" w:line="240" w:lineRule="auto"/>
        <w:rPr>
          <w:rFonts w:ascii="Verdana" w:hAnsi="Verdana"/>
          <w:b w:val="0"/>
          <w:i/>
          <w:sz w:val="20"/>
          <w:lang w:val="en-NZ"/>
        </w:rPr>
      </w:pPr>
      <w:bookmarkStart w:id="10" w:name="_Toc387068638"/>
      <w:r w:rsidRPr="00BC4DE9">
        <w:rPr>
          <w:rFonts w:ascii="Verdana" w:hAnsi="Verdana"/>
          <w:b w:val="0"/>
          <w:i/>
          <w:sz w:val="20"/>
          <w:szCs w:val="20"/>
          <w:lang w:val="en-NZ"/>
        </w:rPr>
        <w:t>Evidence</w:t>
      </w:r>
      <w:r w:rsidRPr="00BC4DE9">
        <w:rPr>
          <w:rFonts w:ascii="Verdana" w:hAnsi="Verdana"/>
          <w:b w:val="0"/>
          <w:i/>
          <w:sz w:val="20"/>
          <w:szCs w:val="20"/>
        </w:rPr>
        <w:t xml:space="preserve"> </w:t>
      </w:r>
      <w:r w:rsidRPr="00BC4DE9">
        <w:rPr>
          <w:rFonts w:ascii="Verdana" w:hAnsi="Verdana"/>
          <w:b w:val="0"/>
          <w:i/>
          <w:sz w:val="20"/>
          <w:szCs w:val="20"/>
          <w:lang w:val="en-NZ"/>
        </w:rPr>
        <w:t>supports</w:t>
      </w:r>
      <w:r w:rsidRPr="00BC4DE9">
        <w:rPr>
          <w:rFonts w:ascii="Verdana" w:hAnsi="Verdana"/>
          <w:b w:val="0"/>
          <w:i/>
          <w:sz w:val="20"/>
          <w:szCs w:val="20"/>
        </w:rPr>
        <w:t xml:space="preserve"> 75</w:t>
      </w:r>
      <w:r w:rsidRPr="00BC4DE9">
        <w:rPr>
          <w:rFonts w:ascii="Verdana" w:hAnsi="Verdana"/>
          <w:b w:val="0"/>
          <w:i/>
          <w:sz w:val="20"/>
          <w:szCs w:val="20"/>
          <w:vertAlign w:val="superscript"/>
        </w:rPr>
        <w:t>th</w:t>
      </w:r>
      <w:r w:rsidRPr="00BC4DE9">
        <w:rPr>
          <w:rFonts w:ascii="Verdana" w:hAnsi="Verdana"/>
          <w:b w:val="0"/>
          <w:i/>
          <w:sz w:val="20"/>
          <w:szCs w:val="20"/>
        </w:rPr>
        <w:t xml:space="preserve"> percentile</w:t>
      </w:r>
      <w:bookmarkEnd w:id="10"/>
    </w:p>
    <w:p w14:paraId="3EF2C95A" w14:textId="77777777" w:rsidR="00F130E4" w:rsidRPr="00BC4DE9" w:rsidRDefault="00393036" w:rsidP="00F130E4">
      <w:pPr>
        <w:numPr>
          <w:ilvl w:val="0"/>
          <w:numId w:val="1"/>
        </w:numPr>
        <w:spacing w:before="120" w:after="120" w:line="312" w:lineRule="auto"/>
        <w:rPr>
          <w:rFonts w:ascii="Verdana" w:hAnsi="Verdana"/>
          <w:sz w:val="20"/>
          <w:lang w:val="en-NZ"/>
        </w:rPr>
      </w:pPr>
      <w:r w:rsidRPr="00BC4DE9">
        <w:rPr>
          <w:rFonts w:ascii="Verdana" w:hAnsi="Verdana"/>
          <w:sz w:val="20"/>
          <w:lang w:val="en-NZ"/>
        </w:rPr>
        <w:t>The Sapere report concludes that the available analytical evidence and inference from investment decisions would support the Commission adopting the 80</w:t>
      </w:r>
      <w:r w:rsidRPr="00BC4DE9">
        <w:rPr>
          <w:rFonts w:ascii="Verdana" w:hAnsi="Verdana"/>
          <w:sz w:val="20"/>
          <w:vertAlign w:val="superscript"/>
          <w:lang w:val="en-NZ"/>
        </w:rPr>
        <w:t>th</w:t>
      </w:r>
      <w:r w:rsidRPr="00BC4DE9">
        <w:rPr>
          <w:rFonts w:ascii="Verdana" w:hAnsi="Verdana"/>
          <w:sz w:val="20"/>
          <w:lang w:val="en-NZ"/>
        </w:rPr>
        <w:t xml:space="preserve"> percentile or higher</w:t>
      </w:r>
      <w:r w:rsidR="005C4EE6" w:rsidRPr="00BC4DE9">
        <w:rPr>
          <w:rFonts w:ascii="Verdana" w:hAnsi="Verdana"/>
          <w:sz w:val="20"/>
          <w:lang w:val="en-NZ"/>
        </w:rPr>
        <w:t>.  In particular, the Sapere report:</w:t>
      </w:r>
    </w:p>
    <w:p w14:paraId="03235AF0" w14:textId="22430040" w:rsidR="00A1216A" w:rsidRPr="00B471F5" w:rsidRDefault="00490A5D" w:rsidP="00A1216A">
      <w:pPr>
        <w:numPr>
          <w:ilvl w:val="1"/>
          <w:numId w:val="1"/>
        </w:numPr>
        <w:tabs>
          <w:tab w:val="clear" w:pos="328"/>
          <w:tab w:val="num" w:pos="1134"/>
        </w:tabs>
        <w:spacing w:before="120" w:after="120" w:line="312" w:lineRule="auto"/>
        <w:ind w:left="1134" w:hanging="425"/>
        <w:rPr>
          <w:rFonts w:ascii="Verdana" w:hAnsi="Verdana"/>
          <w:sz w:val="20"/>
          <w:lang w:val="en-NZ"/>
        </w:rPr>
      </w:pPr>
      <w:r w:rsidRPr="00B471F5">
        <w:rPr>
          <w:rFonts w:ascii="Verdana" w:hAnsi="Verdana"/>
          <w:sz w:val="20"/>
          <w:lang w:val="en-NZ"/>
        </w:rPr>
        <w:t xml:space="preserve">Finds </w:t>
      </w:r>
      <w:r w:rsidR="00A1216A" w:rsidRPr="00B471F5">
        <w:rPr>
          <w:rFonts w:ascii="Verdana" w:hAnsi="Verdana"/>
          <w:sz w:val="20"/>
          <w:lang w:val="en-NZ"/>
        </w:rPr>
        <w:t>that both theory and empirical research show that the estimate of WACC is subject to</w:t>
      </w:r>
      <w:r w:rsidRPr="00B471F5">
        <w:rPr>
          <w:rFonts w:ascii="Verdana" w:hAnsi="Verdana"/>
          <w:sz w:val="20"/>
          <w:lang w:val="en-NZ"/>
        </w:rPr>
        <w:t xml:space="preserve"> considerable</w:t>
      </w:r>
      <w:r w:rsidR="00A1216A" w:rsidRPr="00B471F5">
        <w:rPr>
          <w:rFonts w:ascii="Verdana" w:hAnsi="Verdana"/>
          <w:sz w:val="20"/>
          <w:lang w:val="en-NZ"/>
        </w:rPr>
        <w:t xml:space="preserve"> error arising from errors in the parameter estimates and from inadequacies in the CAPM model (the Commission</w:t>
      </w:r>
      <w:r w:rsidR="00E42A4D" w:rsidRPr="00B471F5">
        <w:rPr>
          <w:rFonts w:ascii="Verdana" w:hAnsi="Verdana"/>
          <w:sz w:val="20"/>
          <w:lang w:val="en-NZ"/>
        </w:rPr>
        <w:t xml:space="preserve"> has</w:t>
      </w:r>
      <w:r w:rsidR="00A1216A" w:rsidRPr="00B471F5">
        <w:rPr>
          <w:rFonts w:ascii="Verdana" w:hAnsi="Verdana"/>
          <w:sz w:val="20"/>
          <w:lang w:val="en-NZ"/>
        </w:rPr>
        <w:t xml:space="preserve"> recognised error in both but </w:t>
      </w:r>
      <w:r w:rsidR="00E42A4D" w:rsidRPr="00B471F5">
        <w:rPr>
          <w:rFonts w:ascii="Verdana" w:hAnsi="Verdana"/>
          <w:sz w:val="20"/>
          <w:lang w:val="en-NZ"/>
        </w:rPr>
        <w:t xml:space="preserve">has </w:t>
      </w:r>
      <w:r w:rsidR="00A1216A" w:rsidRPr="00B471F5">
        <w:rPr>
          <w:rFonts w:ascii="Verdana" w:hAnsi="Verdana"/>
          <w:sz w:val="20"/>
          <w:lang w:val="en-NZ"/>
        </w:rPr>
        <w:t>not adjust</w:t>
      </w:r>
      <w:r w:rsidR="00E42A4D" w:rsidRPr="00B471F5">
        <w:rPr>
          <w:rFonts w:ascii="Verdana" w:hAnsi="Verdana"/>
          <w:sz w:val="20"/>
          <w:lang w:val="en-NZ"/>
        </w:rPr>
        <w:t>ed</w:t>
      </w:r>
      <w:r w:rsidR="00A1216A" w:rsidRPr="00B471F5">
        <w:rPr>
          <w:rFonts w:ascii="Verdana" w:hAnsi="Verdana"/>
          <w:sz w:val="20"/>
          <w:lang w:val="en-NZ"/>
        </w:rPr>
        <w:t xml:space="preserve"> for error in the CAPM model</w:t>
      </w:r>
      <w:r w:rsidR="00E42A4D" w:rsidRPr="00B471F5">
        <w:rPr>
          <w:rFonts w:ascii="Verdana" w:hAnsi="Verdana"/>
          <w:sz w:val="20"/>
          <w:lang w:val="en-NZ"/>
        </w:rPr>
        <w:t xml:space="preserve">; nor has it fully recognised the high degree of uncertainty </w:t>
      </w:r>
      <w:r w:rsidR="00D12E04" w:rsidRPr="00B471F5">
        <w:rPr>
          <w:rFonts w:ascii="Verdana" w:hAnsi="Verdana"/>
          <w:sz w:val="20"/>
          <w:lang w:val="en-NZ"/>
        </w:rPr>
        <w:t xml:space="preserve">in the CAPM based estimate </w:t>
      </w:r>
      <w:r w:rsidR="0022629A" w:rsidRPr="0022629A">
        <w:rPr>
          <w:rFonts w:ascii="Verdana" w:hAnsi="Verdana"/>
          <w:sz w:val="20"/>
          <w:lang w:val="en-NZ"/>
        </w:rPr>
        <w:t>of WACC</w:t>
      </w:r>
      <w:r w:rsidR="00D12E04" w:rsidRPr="00B471F5">
        <w:rPr>
          <w:rFonts w:ascii="Verdana" w:hAnsi="Verdana"/>
          <w:sz w:val="20"/>
          <w:lang w:val="en-NZ"/>
        </w:rPr>
        <w:t xml:space="preserve"> </w:t>
      </w:r>
      <w:r w:rsidR="00E42A4D" w:rsidRPr="00B471F5">
        <w:rPr>
          <w:rFonts w:ascii="Verdana" w:hAnsi="Verdana"/>
          <w:sz w:val="20"/>
          <w:lang w:val="en-NZ"/>
        </w:rPr>
        <w:t>arising from parameter error</w:t>
      </w:r>
      <w:r w:rsidR="00A1216A" w:rsidRPr="00B471F5">
        <w:rPr>
          <w:rFonts w:ascii="Verdana" w:hAnsi="Verdana"/>
          <w:sz w:val="20"/>
          <w:lang w:val="en-NZ"/>
        </w:rPr>
        <w:t>).</w:t>
      </w:r>
    </w:p>
    <w:p w14:paraId="6D2F4151" w14:textId="77777777" w:rsidR="00A1216A" w:rsidRPr="00B471F5" w:rsidRDefault="00A1216A" w:rsidP="00A1216A">
      <w:pPr>
        <w:numPr>
          <w:ilvl w:val="1"/>
          <w:numId w:val="1"/>
        </w:numPr>
        <w:tabs>
          <w:tab w:val="clear" w:pos="328"/>
          <w:tab w:val="num" w:pos="1134"/>
        </w:tabs>
        <w:spacing w:before="120" w:after="120" w:line="312" w:lineRule="auto"/>
        <w:ind w:left="1134" w:hanging="425"/>
        <w:rPr>
          <w:rFonts w:ascii="Verdana" w:hAnsi="Verdana"/>
          <w:sz w:val="20"/>
          <w:lang w:val="en-NZ"/>
        </w:rPr>
      </w:pPr>
      <w:r w:rsidRPr="00B471F5">
        <w:rPr>
          <w:rFonts w:ascii="Verdana" w:hAnsi="Verdana"/>
          <w:sz w:val="20"/>
          <w:lang w:val="en-NZ"/>
        </w:rPr>
        <w:t>Illustrates potential loss functions for linear, piecewise and LINEX estimates of the optimal percentile to minimise asymmetric costs.</w:t>
      </w:r>
    </w:p>
    <w:p w14:paraId="48E9A2A8" w14:textId="5CDB904B" w:rsidR="00A1216A" w:rsidRPr="00B471F5" w:rsidRDefault="00A1216A" w:rsidP="00A1216A">
      <w:pPr>
        <w:numPr>
          <w:ilvl w:val="1"/>
          <w:numId w:val="1"/>
        </w:numPr>
        <w:tabs>
          <w:tab w:val="clear" w:pos="328"/>
          <w:tab w:val="num" w:pos="1134"/>
        </w:tabs>
        <w:spacing w:before="120" w:after="120" w:line="312" w:lineRule="auto"/>
        <w:ind w:left="1134" w:hanging="425"/>
        <w:rPr>
          <w:rFonts w:ascii="Verdana" w:hAnsi="Verdana"/>
          <w:sz w:val="20"/>
          <w:lang w:val="en-NZ"/>
        </w:rPr>
      </w:pPr>
      <w:r w:rsidRPr="00B471F5">
        <w:rPr>
          <w:rFonts w:ascii="Verdana" w:hAnsi="Verdana"/>
          <w:sz w:val="20"/>
          <w:lang w:val="en-NZ"/>
        </w:rPr>
        <w:t xml:space="preserve">Concludes that a </w:t>
      </w:r>
      <w:r w:rsidR="00490A5D" w:rsidRPr="00B471F5">
        <w:rPr>
          <w:rFonts w:ascii="Verdana" w:hAnsi="Verdana"/>
          <w:sz w:val="20"/>
        </w:rPr>
        <w:t xml:space="preserve">mixed loss function, where the loss is small for low </w:t>
      </w:r>
      <w:r w:rsidR="004274D9">
        <w:rPr>
          <w:rFonts w:ascii="Verdana" w:hAnsi="Verdana"/>
          <w:sz w:val="20"/>
        </w:rPr>
        <w:t xml:space="preserve">over or </w:t>
      </w:r>
      <w:r w:rsidR="00490A5D" w:rsidRPr="00B471F5">
        <w:rPr>
          <w:rFonts w:ascii="Verdana" w:hAnsi="Verdana"/>
          <w:sz w:val="20"/>
        </w:rPr>
        <w:t>underestimation but is exponential for significant underestimation, would appear to best model the loss from under or over estimation of WACC</w:t>
      </w:r>
      <w:r w:rsidRPr="00B471F5">
        <w:rPr>
          <w:rFonts w:ascii="Verdana" w:hAnsi="Verdana"/>
          <w:sz w:val="20"/>
          <w:lang w:val="en-NZ"/>
        </w:rPr>
        <w:t>.</w:t>
      </w:r>
    </w:p>
    <w:p w14:paraId="07DB8CC2" w14:textId="191588E7" w:rsidR="00490A5D" w:rsidRPr="00B471F5" w:rsidRDefault="00490A5D" w:rsidP="00A1216A">
      <w:pPr>
        <w:numPr>
          <w:ilvl w:val="1"/>
          <w:numId w:val="1"/>
        </w:numPr>
        <w:tabs>
          <w:tab w:val="clear" w:pos="328"/>
          <w:tab w:val="num" w:pos="1134"/>
        </w:tabs>
        <w:spacing w:before="120" w:after="120" w:line="312" w:lineRule="auto"/>
        <w:ind w:left="1134" w:hanging="425"/>
        <w:rPr>
          <w:rFonts w:ascii="Verdana" w:hAnsi="Verdana"/>
          <w:sz w:val="20"/>
          <w:lang w:val="en-NZ"/>
        </w:rPr>
      </w:pPr>
      <w:r w:rsidRPr="00B471F5">
        <w:rPr>
          <w:rFonts w:ascii="Verdana" w:hAnsi="Verdana"/>
          <w:sz w:val="20"/>
          <w:lang w:val="en-NZ"/>
        </w:rPr>
        <w:t xml:space="preserve">Based on a review of </w:t>
      </w:r>
      <w:r w:rsidR="00A1216A" w:rsidRPr="00B471F5">
        <w:rPr>
          <w:rFonts w:ascii="Verdana" w:hAnsi="Verdana"/>
          <w:sz w:val="20"/>
          <w:lang w:val="en-NZ"/>
        </w:rPr>
        <w:t>the analytical and quantitative evidence</w:t>
      </w:r>
      <w:r w:rsidRPr="00B471F5">
        <w:rPr>
          <w:rFonts w:ascii="Verdana" w:hAnsi="Verdana"/>
          <w:sz w:val="20"/>
          <w:lang w:val="en-NZ"/>
        </w:rPr>
        <w:t>, provides</w:t>
      </w:r>
      <w:r w:rsidRPr="00904F0A">
        <w:t xml:space="preserve"> </w:t>
      </w:r>
      <w:r w:rsidRPr="00B471F5">
        <w:rPr>
          <w:rFonts w:ascii="Verdana" w:hAnsi="Verdana"/>
          <w:sz w:val="20"/>
        </w:rPr>
        <w:t>an order of magnitude estimate of the size of the potential welfare loss from a WACC that is set too high, and show that only a comparatively small amount of investment need be cancelled to produce a much larger economic loss were WACC understated by the same amount.</w:t>
      </w:r>
    </w:p>
    <w:p w14:paraId="4D5BCC66" w14:textId="0F3850C4" w:rsidR="00490A5D" w:rsidRPr="00B471F5" w:rsidRDefault="00490A5D" w:rsidP="00490A5D">
      <w:pPr>
        <w:numPr>
          <w:ilvl w:val="1"/>
          <w:numId w:val="1"/>
        </w:numPr>
        <w:tabs>
          <w:tab w:val="clear" w:pos="328"/>
          <w:tab w:val="num" w:pos="1134"/>
        </w:tabs>
        <w:spacing w:before="120" w:after="120" w:line="312" w:lineRule="auto"/>
        <w:ind w:left="1134" w:hanging="425"/>
        <w:rPr>
          <w:rFonts w:ascii="Verdana" w:hAnsi="Verdana"/>
          <w:sz w:val="20"/>
          <w:lang w:val="en-NZ"/>
        </w:rPr>
      </w:pPr>
      <w:r w:rsidRPr="00B471F5">
        <w:rPr>
          <w:rFonts w:ascii="Verdana" w:hAnsi="Verdana"/>
          <w:sz w:val="20"/>
        </w:rPr>
        <w:t>Concludes that the available analytical evidence, and inferences from investment decisions, certainly support the Commission adopting at least the 75</w:t>
      </w:r>
      <w:r w:rsidRPr="00B471F5">
        <w:rPr>
          <w:rFonts w:ascii="Verdana" w:hAnsi="Verdana"/>
          <w:sz w:val="20"/>
          <w:vertAlign w:val="superscript"/>
        </w:rPr>
        <w:t>th</w:t>
      </w:r>
      <w:r w:rsidRPr="00B471F5">
        <w:rPr>
          <w:rFonts w:ascii="Verdana" w:hAnsi="Verdana"/>
          <w:sz w:val="20"/>
        </w:rPr>
        <w:t xml:space="preserve"> percentile, if not higher, to account for the risks of parameter error</w:t>
      </w:r>
      <w:r w:rsidR="00A1216A" w:rsidRPr="00B471F5">
        <w:rPr>
          <w:rFonts w:ascii="Verdana" w:hAnsi="Verdana"/>
          <w:sz w:val="20"/>
          <w:lang w:val="en-NZ"/>
        </w:rPr>
        <w:t>.</w:t>
      </w:r>
      <w:r w:rsidRPr="00B471F5">
        <w:rPr>
          <w:rFonts w:ascii="Verdana" w:hAnsi="Verdana"/>
          <w:sz w:val="20"/>
          <w:lang w:val="en-NZ"/>
        </w:rPr>
        <w:t xml:space="preserve">  </w:t>
      </w:r>
      <w:r w:rsidRPr="00B471F5">
        <w:rPr>
          <w:rFonts w:ascii="Verdana" w:hAnsi="Verdana"/>
          <w:sz w:val="20"/>
        </w:rPr>
        <w:t>This evidence also suggests that the Commission should, in addition, allow for model error in its estimate of WACC.</w:t>
      </w:r>
    </w:p>
    <w:p w14:paraId="37B013E4" w14:textId="77777777" w:rsidR="00F130E4" w:rsidRPr="00BC4DE9" w:rsidRDefault="005C4EE6" w:rsidP="005C4EE6">
      <w:pPr>
        <w:numPr>
          <w:ilvl w:val="0"/>
          <w:numId w:val="1"/>
        </w:numPr>
        <w:tabs>
          <w:tab w:val="num" w:pos="1134"/>
        </w:tabs>
        <w:spacing w:before="120" w:after="120" w:line="312" w:lineRule="auto"/>
        <w:rPr>
          <w:rFonts w:ascii="Verdana" w:hAnsi="Verdana"/>
          <w:sz w:val="20"/>
          <w:lang w:val="en-NZ"/>
        </w:rPr>
      </w:pPr>
      <w:r w:rsidRPr="00BC4DE9">
        <w:rPr>
          <w:rFonts w:ascii="Verdana" w:hAnsi="Verdana"/>
          <w:sz w:val="20"/>
          <w:lang w:val="en-NZ"/>
        </w:rPr>
        <w:t>These findings are also c</w:t>
      </w:r>
      <w:r w:rsidR="00F130E4" w:rsidRPr="00BC4DE9">
        <w:rPr>
          <w:rFonts w:ascii="Verdana" w:hAnsi="Verdana"/>
          <w:sz w:val="20"/>
          <w:lang w:val="en-NZ"/>
        </w:rPr>
        <w:t>ons</w:t>
      </w:r>
      <w:r w:rsidRPr="00BC4DE9">
        <w:rPr>
          <w:rFonts w:ascii="Verdana" w:hAnsi="Verdana"/>
          <w:sz w:val="20"/>
          <w:lang w:val="en-NZ"/>
        </w:rPr>
        <w:t>istent with the Frontier report provided by Transpower</w:t>
      </w:r>
      <w:r w:rsidR="00573241">
        <w:rPr>
          <w:rFonts w:ascii="Verdana" w:hAnsi="Verdana"/>
          <w:sz w:val="20"/>
          <w:lang w:val="en-NZ"/>
        </w:rPr>
        <w:t xml:space="preserve"> and other expert reports we have seen</w:t>
      </w:r>
      <w:r w:rsidRPr="00BC4DE9">
        <w:rPr>
          <w:rFonts w:ascii="Verdana" w:hAnsi="Verdana"/>
          <w:sz w:val="20"/>
          <w:lang w:val="en-NZ"/>
        </w:rPr>
        <w:t>.</w:t>
      </w:r>
    </w:p>
    <w:p w14:paraId="78F7DF87" w14:textId="77777777" w:rsidR="00C00490" w:rsidRDefault="00C00490" w:rsidP="00C00490">
      <w:pPr>
        <w:numPr>
          <w:ilvl w:val="0"/>
          <w:numId w:val="1"/>
        </w:numPr>
        <w:spacing w:before="120" w:after="120" w:line="312" w:lineRule="auto"/>
        <w:rPr>
          <w:rFonts w:ascii="Verdana" w:hAnsi="Verdana"/>
          <w:sz w:val="20"/>
        </w:rPr>
      </w:pPr>
      <w:r>
        <w:rPr>
          <w:rFonts w:ascii="Verdana" w:hAnsi="Verdana"/>
          <w:sz w:val="20"/>
        </w:rPr>
        <w:t>Vector further submits that the Commission should not depart from its reasoning in support of its WACC IM determinations unless and until there is a sound</w:t>
      </w:r>
      <w:r w:rsidRPr="00860F4E">
        <w:rPr>
          <w:rFonts w:ascii="Verdana" w:hAnsi="Verdana"/>
          <w:sz w:val="20"/>
        </w:rPr>
        <w:t xml:space="preserve"> evi</w:t>
      </w:r>
      <w:r>
        <w:rPr>
          <w:rFonts w:ascii="Verdana" w:hAnsi="Verdana"/>
          <w:sz w:val="20"/>
        </w:rPr>
        <w:t>dential basis for doing so.  This is where:</w:t>
      </w:r>
    </w:p>
    <w:p w14:paraId="584725BE" w14:textId="77777777" w:rsidR="00C00490" w:rsidRDefault="00C00490" w:rsidP="00C00490">
      <w:pPr>
        <w:numPr>
          <w:ilvl w:val="1"/>
          <w:numId w:val="1"/>
        </w:numPr>
        <w:tabs>
          <w:tab w:val="clear" w:pos="328"/>
          <w:tab w:val="num" w:pos="1134"/>
        </w:tabs>
        <w:spacing w:before="120" w:after="120" w:line="312" w:lineRule="auto"/>
        <w:ind w:left="1134" w:hanging="425"/>
        <w:rPr>
          <w:rFonts w:ascii="Verdana" w:hAnsi="Verdana"/>
          <w:sz w:val="20"/>
        </w:rPr>
      </w:pPr>
      <w:r w:rsidRPr="00860F4E">
        <w:rPr>
          <w:rFonts w:ascii="Verdana" w:hAnsi="Verdana"/>
          <w:sz w:val="20"/>
        </w:rPr>
        <w:lastRenderedPageBreak/>
        <w:t xml:space="preserve">the Part 4 </w:t>
      </w:r>
      <w:r>
        <w:rPr>
          <w:rFonts w:ascii="Verdana" w:hAnsi="Verdana"/>
          <w:sz w:val="20"/>
        </w:rPr>
        <w:t xml:space="preserve">framework, and the purpose of IMs in particular, implicitly require that the </w:t>
      </w:r>
      <w:r w:rsidRPr="00860F4E">
        <w:rPr>
          <w:rFonts w:ascii="Verdana" w:hAnsi="Verdana"/>
          <w:sz w:val="20"/>
        </w:rPr>
        <w:t>I</w:t>
      </w:r>
      <w:r>
        <w:rPr>
          <w:rFonts w:ascii="Verdana" w:hAnsi="Verdana"/>
          <w:sz w:val="20"/>
        </w:rPr>
        <w:t>Ms, once determined, are consistently applied and changed only where there is a sound evidential basis; and</w:t>
      </w:r>
    </w:p>
    <w:p w14:paraId="3C7FD2D9" w14:textId="77777777" w:rsidR="00C00490" w:rsidRDefault="00C00490" w:rsidP="00C00490">
      <w:pPr>
        <w:numPr>
          <w:ilvl w:val="1"/>
          <w:numId w:val="1"/>
        </w:numPr>
        <w:tabs>
          <w:tab w:val="clear" w:pos="328"/>
          <w:tab w:val="num" w:pos="1134"/>
        </w:tabs>
        <w:spacing w:before="120" w:after="120" w:line="312" w:lineRule="auto"/>
        <w:ind w:left="1134" w:hanging="425"/>
        <w:rPr>
          <w:rFonts w:ascii="Verdana" w:hAnsi="Verdana"/>
          <w:sz w:val="20"/>
        </w:rPr>
      </w:pPr>
      <w:proofErr w:type="gramStart"/>
      <w:r>
        <w:rPr>
          <w:rFonts w:ascii="Verdana" w:hAnsi="Verdana"/>
          <w:sz w:val="20"/>
        </w:rPr>
        <w:t>regulatory</w:t>
      </w:r>
      <w:proofErr w:type="gramEnd"/>
      <w:r>
        <w:rPr>
          <w:rFonts w:ascii="Verdana" w:hAnsi="Verdana"/>
          <w:sz w:val="20"/>
        </w:rPr>
        <w:t xml:space="preserve"> c</w:t>
      </w:r>
      <w:r w:rsidRPr="00D534DA">
        <w:rPr>
          <w:rFonts w:ascii="Verdana" w:hAnsi="Verdana"/>
          <w:sz w:val="20"/>
        </w:rPr>
        <w:t>ommitment</w:t>
      </w:r>
      <w:r>
        <w:rPr>
          <w:rFonts w:ascii="Verdana" w:hAnsi="Verdana"/>
          <w:sz w:val="20"/>
        </w:rPr>
        <w:t xml:space="preserve"> and consistency</w:t>
      </w:r>
      <w:r w:rsidRPr="00D534DA">
        <w:rPr>
          <w:rFonts w:ascii="Verdana" w:hAnsi="Verdana"/>
          <w:sz w:val="20"/>
        </w:rPr>
        <w:t xml:space="preserve"> </w:t>
      </w:r>
      <w:r>
        <w:rPr>
          <w:rFonts w:ascii="Verdana" w:hAnsi="Verdana"/>
          <w:sz w:val="20"/>
        </w:rPr>
        <w:t>(being well accepted regulatory best practice principles) are critical to confidence in a regime and incentives to invest.</w:t>
      </w:r>
    </w:p>
    <w:p w14:paraId="0EC8AD18" w14:textId="77777777" w:rsidR="000676E0" w:rsidRPr="00BC4DE9" w:rsidRDefault="000676E0" w:rsidP="000676E0">
      <w:pPr>
        <w:numPr>
          <w:ilvl w:val="0"/>
          <w:numId w:val="1"/>
        </w:numPr>
        <w:tabs>
          <w:tab w:val="num" w:pos="1134"/>
        </w:tabs>
        <w:spacing w:before="120" w:after="120" w:line="312" w:lineRule="auto"/>
        <w:rPr>
          <w:rFonts w:ascii="Verdana" w:hAnsi="Verdana"/>
          <w:sz w:val="20"/>
          <w:lang w:val="en-NZ"/>
        </w:rPr>
      </w:pPr>
      <w:r w:rsidRPr="00BC4DE9">
        <w:rPr>
          <w:rFonts w:ascii="Verdana" w:hAnsi="Verdana"/>
          <w:sz w:val="20"/>
          <w:lang w:val="en-NZ"/>
        </w:rPr>
        <w:t>Currently there is no evidence to s</w:t>
      </w:r>
      <w:r w:rsidR="00C00490">
        <w:rPr>
          <w:rFonts w:ascii="Verdana" w:hAnsi="Verdana"/>
          <w:sz w:val="20"/>
          <w:lang w:val="en-NZ"/>
        </w:rPr>
        <w:t>upport</w:t>
      </w:r>
      <w:r w:rsidRPr="00BC4DE9">
        <w:rPr>
          <w:rFonts w:ascii="Verdana" w:hAnsi="Verdana"/>
          <w:sz w:val="20"/>
          <w:lang w:val="en-NZ"/>
        </w:rPr>
        <w:t xml:space="preserve"> </w:t>
      </w:r>
      <w:r w:rsidR="00C00490">
        <w:rPr>
          <w:rFonts w:ascii="Verdana" w:hAnsi="Verdana"/>
          <w:sz w:val="20"/>
          <w:lang w:val="en-NZ"/>
        </w:rPr>
        <w:t>the Commission adopting a</w:t>
      </w:r>
      <w:r w:rsidRPr="00BC4DE9">
        <w:rPr>
          <w:rFonts w:ascii="Verdana" w:hAnsi="Verdana"/>
          <w:sz w:val="20"/>
          <w:lang w:val="en-NZ"/>
        </w:rPr>
        <w:t xml:space="preserve"> different approach:</w:t>
      </w:r>
    </w:p>
    <w:p w14:paraId="43A53887" w14:textId="77777777" w:rsidR="00C00490" w:rsidRDefault="000676E0" w:rsidP="000676E0">
      <w:pPr>
        <w:numPr>
          <w:ilvl w:val="1"/>
          <w:numId w:val="1"/>
        </w:numPr>
        <w:tabs>
          <w:tab w:val="clear" w:pos="328"/>
          <w:tab w:val="num" w:pos="1134"/>
        </w:tabs>
        <w:spacing w:before="120" w:after="120" w:line="312" w:lineRule="auto"/>
        <w:ind w:left="1134" w:hanging="425"/>
        <w:rPr>
          <w:rFonts w:ascii="Verdana" w:hAnsi="Verdana"/>
          <w:sz w:val="20"/>
          <w:lang w:val="en-NZ"/>
        </w:rPr>
      </w:pPr>
      <w:r w:rsidRPr="00BC4DE9">
        <w:rPr>
          <w:rFonts w:ascii="Verdana" w:hAnsi="Verdana"/>
          <w:sz w:val="20"/>
          <w:lang w:val="en-NZ"/>
        </w:rPr>
        <w:t>While the High Court questioned the basis for the 75</w:t>
      </w:r>
      <w:r w:rsidRPr="00BC4DE9">
        <w:rPr>
          <w:rFonts w:ascii="Verdana" w:hAnsi="Verdana"/>
          <w:sz w:val="20"/>
          <w:vertAlign w:val="superscript"/>
          <w:lang w:val="en-NZ"/>
        </w:rPr>
        <w:t>th</w:t>
      </w:r>
      <w:r w:rsidRPr="00BC4DE9">
        <w:rPr>
          <w:rFonts w:ascii="Verdana" w:hAnsi="Verdana"/>
          <w:sz w:val="20"/>
          <w:lang w:val="en-NZ"/>
        </w:rPr>
        <w:t xml:space="preserve"> percentile, the Court was clear that these comments were made without any evidential basis.  </w:t>
      </w:r>
    </w:p>
    <w:p w14:paraId="34765F79" w14:textId="6F53B404" w:rsidR="000676E0" w:rsidRPr="00BC4DE9" w:rsidRDefault="004C0A2E" w:rsidP="000676E0">
      <w:pPr>
        <w:numPr>
          <w:ilvl w:val="1"/>
          <w:numId w:val="1"/>
        </w:numPr>
        <w:tabs>
          <w:tab w:val="clear" w:pos="328"/>
          <w:tab w:val="num" w:pos="1134"/>
        </w:tabs>
        <w:spacing w:before="120" w:after="120" w:line="312" w:lineRule="auto"/>
        <w:ind w:left="1134" w:hanging="425"/>
        <w:rPr>
          <w:rFonts w:ascii="Verdana" w:hAnsi="Verdana"/>
          <w:sz w:val="20"/>
          <w:lang w:val="en-NZ"/>
        </w:rPr>
      </w:pPr>
      <w:r>
        <w:rPr>
          <w:rFonts w:ascii="Verdana" w:hAnsi="Verdana"/>
          <w:sz w:val="20"/>
          <w:lang w:val="en-NZ"/>
        </w:rPr>
        <w:t>T</w:t>
      </w:r>
      <w:r w:rsidR="00C00490">
        <w:rPr>
          <w:rFonts w:ascii="Verdana" w:hAnsi="Verdana"/>
          <w:sz w:val="20"/>
          <w:lang w:val="en-NZ"/>
        </w:rPr>
        <w:t>he only</w:t>
      </w:r>
      <w:r w:rsidR="00C00490" w:rsidRPr="00C00490">
        <w:rPr>
          <w:rFonts w:ascii="Verdana" w:hAnsi="Verdana"/>
          <w:sz w:val="20"/>
          <w:lang w:val="en-NZ"/>
        </w:rPr>
        <w:t xml:space="preserve"> expert report to question setting the regulatory WACC above the midpoint estimate in this context was provided by NZIER on behalf of MEUG in March 2014</w:t>
      </w:r>
      <w:r>
        <w:rPr>
          <w:rFonts w:ascii="Verdana" w:hAnsi="Verdana"/>
          <w:sz w:val="20"/>
          <w:lang w:val="en-NZ"/>
        </w:rPr>
        <w:t xml:space="preserve"> (despite this issue being "live" over the last 10 years)</w:t>
      </w:r>
      <w:r w:rsidR="00C00490" w:rsidRPr="00C00490">
        <w:rPr>
          <w:rFonts w:ascii="Verdana" w:hAnsi="Verdana"/>
          <w:sz w:val="20"/>
          <w:lang w:val="en-NZ"/>
        </w:rPr>
        <w:t xml:space="preserve">.  </w:t>
      </w:r>
      <w:r w:rsidR="00C00490">
        <w:rPr>
          <w:rFonts w:ascii="Verdana" w:hAnsi="Verdana"/>
          <w:sz w:val="20"/>
          <w:lang w:val="en-NZ"/>
        </w:rPr>
        <w:t xml:space="preserve">However, </w:t>
      </w:r>
      <w:r w:rsidR="00C00490" w:rsidRPr="00C00490">
        <w:rPr>
          <w:rFonts w:ascii="Verdana" w:hAnsi="Verdana"/>
          <w:sz w:val="20"/>
          <w:lang w:val="en-NZ"/>
        </w:rPr>
        <w:t xml:space="preserve">NZIER does not suggest that the </w:t>
      </w:r>
      <w:r w:rsidR="00A50304">
        <w:rPr>
          <w:rFonts w:ascii="Verdana" w:hAnsi="Verdana"/>
          <w:sz w:val="20"/>
          <w:lang w:val="en-NZ"/>
        </w:rPr>
        <w:t>conceptual</w:t>
      </w:r>
      <w:r w:rsidR="00C00490" w:rsidRPr="00C00490">
        <w:rPr>
          <w:rFonts w:ascii="Verdana" w:hAnsi="Verdana"/>
          <w:sz w:val="20"/>
          <w:lang w:val="en-NZ"/>
        </w:rPr>
        <w:t xml:space="preserve"> position set out above is incorrect, but only that there is a lack of empirical evidence to justify applying a WACC above the midpoint estimate</w:t>
      </w:r>
      <w:r>
        <w:rPr>
          <w:rFonts w:ascii="Verdana" w:hAnsi="Verdana"/>
          <w:sz w:val="20"/>
          <w:lang w:val="en-NZ"/>
        </w:rPr>
        <w:t>.</w:t>
      </w:r>
    </w:p>
    <w:p w14:paraId="3C3962EC" w14:textId="792DFC74" w:rsidR="00C00490" w:rsidRPr="00C00490" w:rsidRDefault="00BC57CF" w:rsidP="000676E0">
      <w:pPr>
        <w:numPr>
          <w:ilvl w:val="1"/>
          <w:numId w:val="1"/>
        </w:numPr>
        <w:tabs>
          <w:tab w:val="clear" w:pos="328"/>
          <w:tab w:val="num" w:pos="1134"/>
        </w:tabs>
        <w:spacing w:before="120" w:after="120" w:line="312" w:lineRule="auto"/>
        <w:ind w:left="1134" w:hanging="425"/>
        <w:rPr>
          <w:rFonts w:ascii="Verdana" w:hAnsi="Verdana"/>
          <w:lang w:val="en-NZ"/>
        </w:rPr>
      </w:pPr>
      <w:r>
        <w:rPr>
          <w:rFonts w:ascii="Verdana" w:hAnsi="Verdana"/>
          <w:sz w:val="20"/>
          <w:lang w:val="en-NZ"/>
        </w:rPr>
        <w:t>Vector</w:t>
      </w:r>
      <w:r w:rsidRPr="00C00490">
        <w:rPr>
          <w:rFonts w:ascii="Verdana" w:hAnsi="Verdana"/>
          <w:sz w:val="20"/>
          <w:lang w:val="en-NZ"/>
        </w:rPr>
        <w:t xml:space="preserve"> </w:t>
      </w:r>
      <w:r w:rsidR="00C00490" w:rsidRPr="00C00490">
        <w:rPr>
          <w:rFonts w:ascii="Verdana" w:hAnsi="Verdana"/>
          <w:sz w:val="20"/>
          <w:lang w:val="en-NZ"/>
        </w:rPr>
        <w:t>do</w:t>
      </w:r>
      <w:r>
        <w:rPr>
          <w:rFonts w:ascii="Verdana" w:hAnsi="Verdana"/>
          <w:sz w:val="20"/>
          <w:lang w:val="en-NZ"/>
        </w:rPr>
        <w:t>es</w:t>
      </w:r>
      <w:r w:rsidR="00C00490" w:rsidRPr="00C00490">
        <w:rPr>
          <w:rFonts w:ascii="Verdana" w:hAnsi="Verdana"/>
          <w:sz w:val="20"/>
          <w:lang w:val="en-NZ"/>
        </w:rPr>
        <w:t xml:space="preserve"> not agree that the Northington report is evidence that the 75th percentile WACC is higher than needed and refer</w:t>
      </w:r>
      <w:r>
        <w:rPr>
          <w:rFonts w:ascii="Verdana" w:hAnsi="Verdana"/>
          <w:sz w:val="20"/>
          <w:lang w:val="en-NZ"/>
        </w:rPr>
        <w:t>s</w:t>
      </w:r>
      <w:r w:rsidR="00C00490" w:rsidRPr="00C00490">
        <w:rPr>
          <w:rFonts w:ascii="Verdana" w:hAnsi="Verdana"/>
          <w:sz w:val="20"/>
          <w:lang w:val="en-NZ"/>
        </w:rPr>
        <w:t xml:space="preserve"> to </w:t>
      </w:r>
      <w:r w:rsidR="00573241">
        <w:rPr>
          <w:rFonts w:ascii="Verdana" w:hAnsi="Verdana"/>
          <w:sz w:val="20"/>
          <w:lang w:val="en-NZ"/>
        </w:rPr>
        <w:t>an expert report by PwC</w:t>
      </w:r>
      <w:r w:rsidR="00573241" w:rsidRPr="00C00490">
        <w:rPr>
          <w:rFonts w:ascii="Verdana" w:hAnsi="Verdana"/>
          <w:sz w:val="20"/>
          <w:lang w:val="en-NZ"/>
        </w:rPr>
        <w:t xml:space="preserve"> </w:t>
      </w:r>
      <w:r w:rsidR="00573241">
        <w:rPr>
          <w:rFonts w:ascii="Verdana" w:hAnsi="Verdana"/>
          <w:sz w:val="20"/>
          <w:lang w:val="en-NZ"/>
        </w:rPr>
        <w:t>(</w:t>
      </w:r>
      <w:r w:rsidR="00C00490" w:rsidRPr="00C00490">
        <w:rPr>
          <w:rFonts w:ascii="Verdana" w:hAnsi="Verdana"/>
          <w:sz w:val="20"/>
          <w:lang w:val="en-NZ"/>
        </w:rPr>
        <w:t>PwC report</w:t>
      </w:r>
      <w:r w:rsidR="00573241">
        <w:rPr>
          <w:rFonts w:ascii="Verdana" w:hAnsi="Verdana"/>
          <w:sz w:val="20"/>
          <w:lang w:val="en-NZ"/>
        </w:rPr>
        <w:t>)</w:t>
      </w:r>
      <w:r w:rsidR="00C00490" w:rsidRPr="00C00490">
        <w:rPr>
          <w:rFonts w:ascii="Verdana" w:hAnsi="Verdana"/>
          <w:sz w:val="20"/>
          <w:lang w:val="en-NZ"/>
        </w:rPr>
        <w:t xml:space="preserve"> provided with this submission</w:t>
      </w:r>
      <w:r>
        <w:rPr>
          <w:rFonts w:ascii="Verdana" w:hAnsi="Verdana"/>
          <w:sz w:val="20"/>
          <w:lang w:val="en-NZ"/>
        </w:rPr>
        <w:t xml:space="preserve"> to support that position.</w:t>
      </w:r>
      <w:r w:rsidR="00C00490" w:rsidRPr="00C00490">
        <w:rPr>
          <w:rFonts w:ascii="Verdana" w:hAnsi="Verdana"/>
          <w:sz w:val="20"/>
          <w:lang w:val="en-NZ"/>
        </w:rPr>
        <w:t xml:space="preserve"> </w:t>
      </w:r>
    </w:p>
    <w:p w14:paraId="0094D9E5" w14:textId="77777777" w:rsidR="0095783E" w:rsidRPr="00C00490" w:rsidRDefault="0095783E" w:rsidP="000676E0">
      <w:pPr>
        <w:numPr>
          <w:ilvl w:val="1"/>
          <w:numId w:val="1"/>
        </w:numPr>
        <w:tabs>
          <w:tab w:val="clear" w:pos="328"/>
          <w:tab w:val="num" w:pos="1134"/>
        </w:tabs>
        <w:spacing w:before="120" w:after="120" w:line="312" w:lineRule="auto"/>
        <w:ind w:left="1134" w:hanging="425"/>
        <w:rPr>
          <w:rFonts w:ascii="Verdana" w:hAnsi="Verdana"/>
          <w:sz w:val="20"/>
          <w:lang w:val="en-NZ"/>
        </w:rPr>
        <w:sectPr w:rsidR="0095783E" w:rsidRPr="00C00490" w:rsidSect="00BA3901">
          <w:headerReference w:type="default" r:id="rId10"/>
          <w:footerReference w:type="even" r:id="rId11"/>
          <w:footerReference w:type="default" r:id="rId12"/>
          <w:pgSz w:w="11906" w:h="16838" w:code="9"/>
          <w:pgMar w:top="2019" w:right="1729" w:bottom="1440" w:left="1729" w:header="720" w:footer="851" w:gutter="0"/>
          <w:cols w:space="720"/>
        </w:sectPr>
      </w:pPr>
    </w:p>
    <w:p w14:paraId="6977D7B8" w14:textId="77777777" w:rsidR="004A676C" w:rsidRPr="009304A0" w:rsidRDefault="004A676C" w:rsidP="00EF5FF9">
      <w:pPr>
        <w:pStyle w:val="Heading1"/>
        <w:spacing w:after="240" w:line="240" w:lineRule="auto"/>
        <w:rPr>
          <w:rFonts w:ascii="Verdana" w:hAnsi="Verdana"/>
          <w:sz w:val="20"/>
          <w:szCs w:val="20"/>
          <w:lang w:val="en-NZ"/>
        </w:rPr>
      </w:pPr>
      <w:bookmarkStart w:id="11" w:name="_Toc387068639"/>
      <w:r w:rsidRPr="002C151E">
        <w:rPr>
          <w:rFonts w:ascii="Verdana" w:hAnsi="Verdana"/>
          <w:sz w:val="20"/>
          <w:szCs w:val="20"/>
          <w:lang w:val="en-NZ"/>
        </w:rPr>
        <w:lastRenderedPageBreak/>
        <w:t>Introduction</w:t>
      </w:r>
      <w:bookmarkEnd w:id="11"/>
    </w:p>
    <w:p w14:paraId="359B8A28" w14:textId="77777777" w:rsidR="004A676C" w:rsidRPr="009304A0" w:rsidRDefault="004A676C" w:rsidP="00683A55">
      <w:pPr>
        <w:numPr>
          <w:ilvl w:val="0"/>
          <w:numId w:val="1"/>
        </w:numPr>
        <w:spacing w:before="120" w:after="120" w:line="312" w:lineRule="auto"/>
        <w:rPr>
          <w:rFonts w:ascii="Verdana" w:hAnsi="Verdana"/>
          <w:i/>
          <w:sz w:val="20"/>
        </w:rPr>
      </w:pPr>
      <w:r w:rsidRPr="002C151E">
        <w:rPr>
          <w:rFonts w:ascii="Verdana" w:hAnsi="Verdana"/>
          <w:sz w:val="20"/>
        </w:rPr>
        <w:t xml:space="preserve">The </w:t>
      </w:r>
      <w:r>
        <w:rPr>
          <w:rFonts w:ascii="Verdana" w:hAnsi="Verdana"/>
          <w:sz w:val="20"/>
        </w:rPr>
        <w:t xml:space="preserve">Commerce </w:t>
      </w:r>
      <w:r w:rsidRPr="002C151E">
        <w:rPr>
          <w:rFonts w:ascii="Verdana" w:hAnsi="Verdana"/>
          <w:sz w:val="20"/>
        </w:rPr>
        <w:t xml:space="preserve">Commission </w:t>
      </w:r>
      <w:r>
        <w:rPr>
          <w:rFonts w:ascii="Verdana" w:hAnsi="Verdana"/>
          <w:sz w:val="20"/>
        </w:rPr>
        <w:t xml:space="preserve">(Commission) issued a notice of intention to </w:t>
      </w:r>
      <w:r w:rsidR="00105961">
        <w:rPr>
          <w:rFonts w:ascii="Verdana" w:hAnsi="Verdana"/>
          <w:sz w:val="20"/>
        </w:rPr>
        <w:t xml:space="preserve">undertake </w:t>
      </w:r>
      <w:r>
        <w:rPr>
          <w:rFonts w:ascii="Verdana" w:hAnsi="Verdana"/>
          <w:sz w:val="20"/>
        </w:rPr>
        <w:t xml:space="preserve">further work on the cost of capital input methodologies </w:t>
      </w:r>
      <w:r w:rsidR="00EF5FF9">
        <w:rPr>
          <w:rFonts w:ascii="Verdana" w:hAnsi="Verdana"/>
          <w:sz w:val="20"/>
        </w:rPr>
        <w:t xml:space="preserve">(WACC IMs) </w:t>
      </w:r>
      <w:r>
        <w:rPr>
          <w:rFonts w:ascii="Verdana" w:hAnsi="Verdana"/>
          <w:sz w:val="20"/>
        </w:rPr>
        <w:t>on 31 March 2014</w:t>
      </w:r>
      <w:r w:rsidRPr="002C151E">
        <w:rPr>
          <w:rFonts w:ascii="Verdana" w:hAnsi="Verdana"/>
          <w:sz w:val="20"/>
        </w:rPr>
        <w:t xml:space="preserve">. </w:t>
      </w:r>
    </w:p>
    <w:p w14:paraId="2B0FFD72" w14:textId="77777777" w:rsidR="00EF5FF9" w:rsidRPr="00EF5FF9" w:rsidRDefault="004A676C" w:rsidP="00683A55">
      <w:pPr>
        <w:numPr>
          <w:ilvl w:val="0"/>
          <w:numId w:val="1"/>
        </w:numPr>
        <w:spacing w:before="120" w:after="120" w:line="312" w:lineRule="auto"/>
        <w:rPr>
          <w:rFonts w:ascii="Verdana" w:hAnsi="Verdana"/>
          <w:i/>
          <w:sz w:val="20"/>
        </w:rPr>
      </w:pPr>
      <w:r w:rsidRPr="00E20CE0">
        <w:rPr>
          <w:rFonts w:ascii="Verdana" w:hAnsi="Verdana"/>
          <w:sz w:val="20"/>
          <w:lang w:val="en-US"/>
        </w:rPr>
        <w:t xml:space="preserve">This submission is in response to the Commission's </w:t>
      </w:r>
      <w:r w:rsidRPr="00E20CE0">
        <w:rPr>
          <w:rFonts w:ascii="Verdana" w:hAnsi="Verdana"/>
          <w:sz w:val="20"/>
        </w:rPr>
        <w:t>process update and invitation to provide evidence on the WACC percentile</w:t>
      </w:r>
      <w:r w:rsidR="00EF5FF9">
        <w:rPr>
          <w:rFonts w:ascii="Verdana" w:hAnsi="Verdana"/>
          <w:sz w:val="20"/>
        </w:rPr>
        <w:t>,</w:t>
      </w:r>
      <w:r w:rsidRPr="00E20CE0">
        <w:rPr>
          <w:rFonts w:ascii="Verdana" w:hAnsi="Verdana"/>
          <w:sz w:val="20"/>
        </w:rPr>
        <w:t xml:space="preserve"> also issued on 31 March 2014. </w:t>
      </w:r>
      <w:r w:rsidR="00E20CE0">
        <w:rPr>
          <w:rFonts w:ascii="Verdana" w:hAnsi="Verdana"/>
          <w:sz w:val="20"/>
        </w:rPr>
        <w:t xml:space="preserve"> </w:t>
      </w:r>
    </w:p>
    <w:p w14:paraId="1F7ABAE2" w14:textId="280E6375" w:rsidR="004A676C" w:rsidRPr="00E20CE0" w:rsidRDefault="004A676C" w:rsidP="00683A55">
      <w:pPr>
        <w:numPr>
          <w:ilvl w:val="0"/>
          <w:numId w:val="1"/>
        </w:numPr>
        <w:spacing w:before="120" w:after="120" w:line="312" w:lineRule="auto"/>
        <w:rPr>
          <w:rFonts w:ascii="Verdana" w:hAnsi="Verdana"/>
          <w:i/>
          <w:sz w:val="20"/>
        </w:rPr>
      </w:pPr>
      <w:r w:rsidRPr="00E20CE0">
        <w:rPr>
          <w:rFonts w:ascii="Verdana" w:hAnsi="Verdana"/>
          <w:sz w:val="20"/>
        </w:rPr>
        <w:t xml:space="preserve">Attached to </w:t>
      </w:r>
      <w:r w:rsidR="00BC57CF">
        <w:rPr>
          <w:rFonts w:ascii="Verdana" w:hAnsi="Verdana"/>
          <w:sz w:val="20"/>
        </w:rPr>
        <w:t xml:space="preserve">this </w:t>
      </w:r>
      <w:r w:rsidRPr="00E20CE0">
        <w:rPr>
          <w:rFonts w:ascii="Verdana" w:hAnsi="Verdana"/>
          <w:sz w:val="20"/>
        </w:rPr>
        <w:t xml:space="preserve">submission </w:t>
      </w:r>
      <w:r w:rsidR="00F06DBC">
        <w:rPr>
          <w:rFonts w:ascii="Verdana" w:hAnsi="Verdana"/>
          <w:sz w:val="20"/>
        </w:rPr>
        <w:t xml:space="preserve">are </w:t>
      </w:r>
      <w:r w:rsidR="00AC2213">
        <w:rPr>
          <w:rFonts w:ascii="Verdana" w:hAnsi="Verdana"/>
          <w:sz w:val="20"/>
        </w:rPr>
        <w:t xml:space="preserve">expert </w:t>
      </w:r>
      <w:r w:rsidRPr="00E20CE0">
        <w:rPr>
          <w:rFonts w:ascii="Verdana" w:hAnsi="Verdana"/>
          <w:sz w:val="20"/>
        </w:rPr>
        <w:t>report</w:t>
      </w:r>
      <w:r w:rsidR="00F06DBC">
        <w:rPr>
          <w:rFonts w:ascii="Verdana" w:hAnsi="Verdana"/>
          <w:sz w:val="20"/>
        </w:rPr>
        <w:t>s</w:t>
      </w:r>
      <w:r w:rsidRPr="00E20CE0">
        <w:rPr>
          <w:rFonts w:ascii="Verdana" w:hAnsi="Verdana"/>
          <w:sz w:val="20"/>
        </w:rPr>
        <w:t xml:space="preserve"> from Sapere</w:t>
      </w:r>
      <w:r w:rsidR="00573241">
        <w:rPr>
          <w:rFonts w:ascii="Verdana" w:hAnsi="Verdana"/>
          <w:sz w:val="20"/>
        </w:rPr>
        <w:t xml:space="preserve"> </w:t>
      </w:r>
      <w:r w:rsidR="00573241" w:rsidRPr="00B471F5">
        <w:rPr>
          <w:rFonts w:ascii="Verdana" w:hAnsi="Verdana"/>
          <w:i/>
          <w:sz w:val="20"/>
        </w:rPr>
        <w:t>Setting the WACC percentile for Vector’s price-quality path</w:t>
      </w:r>
      <w:r w:rsidR="00573241">
        <w:rPr>
          <w:rFonts w:ascii="Verdana" w:hAnsi="Verdana"/>
          <w:i/>
          <w:sz w:val="20"/>
        </w:rPr>
        <w:t>,</w:t>
      </w:r>
      <w:r w:rsidR="00E20CE0">
        <w:rPr>
          <w:rFonts w:ascii="Verdana" w:hAnsi="Verdana"/>
          <w:sz w:val="20"/>
        </w:rPr>
        <w:t xml:space="preserve"> dated </w:t>
      </w:r>
      <w:r w:rsidR="00490A5D" w:rsidRPr="00B471F5">
        <w:rPr>
          <w:rFonts w:ascii="Verdana" w:hAnsi="Verdana"/>
          <w:sz w:val="20"/>
        </w:rPr>
        <w:t>4</w:t>
      </w:r>
      <w:r w:rsidR="00B8485F" w:rsidRPr="00B471F5">
        <w:rPr>
          <w:rFonts w:ascii="Verdana" w:hAnsi="Verdana"/>
          <w:sz w:val="20"/>
        </w:rPr>
        <w:t xml:space="preserve"> May 2014</w:t>
      </w:r>
      <w:r w:rsidR="00573241">
        <w:rPr>
          <w:rFonts w:ascii="Verdana" w:hAnsi="Verdana"/>
          <w:sz w:val="20"/>
        </w:rPr>
        <w:t>,</w:t>
      </w:r>
      <w:r w:rsidR="00F06DBC">
        <w:rPr>
          <w:rFonts w:ascii="Verdana" w:hAnsi="Verdana"/>
          <w:sz w:val="20"/>
        </w:rPr>
        <w:t xml:space="preserve"> and from PwC</w:t>
      </w:r>
      <w:r w:rsidR="00573241">
        <w:rPr>
          <w:rFonts w:ascii="Verdana" w:hAnsi="Verdana"/>
          <w:sz w:val="20"/>
        </w:rPr>
        <w:t xml:space="preserve"> </w:t>
      </w:r>
      <w:r w:rsidR="00573241" w:rsidRPr="00B471F5">
        <w:rPr>
          <w:rFonts w:ascii="Verdana" w:hAnsi="Verdana"/>
          <w:i/>
          <w:sz w:val="20"/>
        </w:rPr>
        <w:t>Rationale for transaction premiums to RAB value</w:t>
      </w:r>
      <w:r w:rsidR="00573241">
        <w:rPr>
          <w:rFonts w:ascii="Verdana" w:hAnsi="Verdana"/>
          <w:i/>
          <w:sz w:val="20"/>
        </w:rPr>
        <w:t>,</w:t>
      </w:r>
      <w:r w:rsidR="00F06DBC">
        <w:rPr>
          <w:rFonts w:ascii="Verdana" w:hAnsi="Verdana"/>
          <w:sz w:val="20"/>
        </w:rPr>
        <w:t xml:space="preserve"> dated</w:t>
      </w:r>
      <w:r w:rsidR="00B8485F">
        <w:rPr>
          <w:rFonts w:ascii="Verdana" w:hAnsi="Verdana"/>
          <w:sz w:val="20"/>
        </w:rPr>
        <w:t xml:space="preserve"> 28 March 2014.</w:t>
      </w:r>
    </w:p>
    <w:p w14:paraId="426039FB" w14:textId="77777777" w:rsidR="00E20CE0" w:rsidRPr="00E20CE0" w:rsidRDefault="00E20CE0" w:rsidP="00E20CE0">
      <w:pPr>
        <w:numPr>
          <w:ilvl w:val="0"/>
          <w:numId w:val="1"/>
        </w:numPr>
        <w:spacing w:before="120" w:after="120" w:line="312" w:lineRule="auto"/>
        <w:rPr>
          <w:rFonts w:ascii="Verdana" w:hAnsi="Verdana"/>
          <w:sz w:val="20"/>
        </w:rPr>
      </w:pPr>
      <w:r w:rsidRPr="00E20CE0">
        <w:rPr>
          <w:rFonts w:ascii="Verdana" w:hAnsi="Verdana"/>
          <w:sz w:val="20"/>
        </w:rPr>
        <w:t xml:space="preserve">The Commission </w:t>
      </w:r>
      <w:r>
        <w:rPr>
          <w:rFonts w:ascii="Verdana" w:hAnsi="Verdana"/>
          <w:sz w:val="20"/>
        </w:rPr>
        <w:t xml:space="preserve">in its invitation </w:t>
      </w:r>
      <w:r w:rsidRPr="00E20CE0">
        <w:rPr>
          <w:rFonts w:ascii="Verdana" w:hAnsi="Verdana"/>
          <w:sz w:val="20"/>
        </w:rPr>
        <w:t>is seeking submissions providing:</w:t>
      </w:r>
    </w:p>
    <w:p w14:paraId="009D2FC6" w14:textId="77777777" w:rsidR="00E20CE0" w:rsidRPr="00E20CE0" w:rsidRDefault="00E20CE0" w:rsidP="00E20CE0">
      <w:pPr>
        <w:numPr>
          <w:ilvl w:val="1"/>
          <w:numId w:val="1"/>
        </w:numPr>
        <w:tabs>
          <w:tab w:val="clear" w:pos="328"/>
          <w:tab w:val="num" w:pos="1134"/>
        </w:tabs>
        <w:spacing w:before="120" w:after="120" w:line="312" w:lineRule="auto"/>
        <w:ind w:left="1134" w:hanging="425"/>
        <w:rPr>
          <w:rFonts w:ascii="Verdana" w:hAnsi="Verdana"/>
          <w:sz w:val="20"/>
        </w:rPr>
      </w:pPr>
      <w:r w:rsidRPr="00E20CE0">
        <w:rPr>
          <w:rFonts w:ascii="Verdana" w:hAnsi="Verdana"/>
          <w:sz w:val="20"/>
        </w:rPr>
        <w:t>empirical or analytical evidence regarding the appropriate WACC percentile; and</w:t>
      </w:r>
    </w:p>
    <w:p w14:paraId="293E6D63" w14:textId="77777777" w:rsidR="00E20CE0" w:rsidRPr="00E20CE0" w:rsidRDefault="00E20CE0" w:rsidP="00E20CE0">
      <w:pPr>
        <w:numPr>
          <w:ilvl w:val="1"/>
          <w:numId w:val="1"/>
        </w:numPr>
        <w:tabs>
          <w:tab w:val="clear" w:pos="328"/>
          <w:tab w:val="num" w:pos="1134"/>
        </w:tabs>
        <w:spacing w:before="120" w:after="120" w:line="312" w:lineRule="auto"/>
        <w:ind w:left="1134" w:hanging="425"/>
        <w:rPr>
          <w:rFonts w:ascii="Verdana" w:hAnsi="Verdana"/>
          <w:sz w:val="20"/>
        </w:rPr>
      </w:pPr>
      <w:proofErr w:type="gramStart"/>
      <w:r w:rsidRPr="00E20CE0">
        <w:rPr>
          <w:rFonts w:ascii="Verdana" w:hAnsi="Verdana"/>
          <w:sz w:val="20"/>
        </w:rPr>
        <w:t>any</w:t>
      </w:r>
      <w:proofErr w:type="gramEnd"/>
      <w:r w:rsidRPr="00E20CE0">
        <w:rPr>
          <w:rFonts w:ascii="Verdana" w:hAnsi="Verdana"/>
          <w:sz w:val="20"/>
        </w:rPr>
        <w:t xml:space="preserve"> additional considerations (supported by evidence) that differ between sectors and might affect the appropriate percentile.</w:t>
      </w:r>
    </w:p>
    <w:p w14:paraId="5AF73A1E" w14:textId="5DDAB904" w:rsidR="00E20CE0" w:rsidRDefault="008226C5" w:rsidP="00E20CE0">
      <w:pPr>
        <w:numPr>
          <w:ilvl w:val="0"/>
          <w:numId w:val="1"/>
        </w:numPr>
        <w:spacing w:before="120" w:after="120" w:line="312" w:lineRule="auto"/>
        <w:rPr>
          <w:rFonts w:ascii="Verdana" w:hAnsi="Verdana"/>
          <w:sz w:val="20"/>
        </w:rPr>
      </w:pPr>
      <w:r>
        <w:rPr>
          <w:rFonts w:ascii="Verdana" w:hAnsi="Verdana"/>
          <w:sz w:val="20"/>
        </w:rPr>
        <w:t>At the outset</w:t>
      </w:r>
      <w:r w:rsidR="00BC57CF">
        <w:rPr>
          <w:rFonts w:ascii="Verdana" w:hAnsi="Verdana"/>
          <w:sz w:val="20"/>
        </w:rPr>
        <w:t>, Vector notes</w:t>
      </w:r>
      <w:r>
        <w:rPr>
          <w:rFonts w:ascii="Verdana" w:hAnsi="Verdana"/>
          <w:sz w:val="20"/>
        </w:rPr>
        <w:t xml:space="preserve"> that</w:t>
      </w:r>
      <w:r w:rsidR="00E20CE0">
        <w:rPr>
          <w:rFonts w:ascii="Verdana" w:hAnsi="Verdana"/>
          <w:sz w:val="20"/>
        </w:rPr>
        <w:t>:</w:t>
      </w:r>
    </w:p>
    <w:p w14:paraId="597D7D5B" w14:textId="2AF8B3C2" w:rsidR="00E20CE0" w:rsidRDefault="00A50304" w:rsidP="00E20CE0">
      <w:pPr>
        <w:numPr>
          <w:ilvl w:val="1"/>
          <w:numId w:val="1"/>
        </w:numPr>
        <w:tabs>
          <w:tab w:val="clear" w:pos="328"/>
          <w:tab w:val="num" w:pos="1134"/>
        </w:tabs>
        <w:spacing w:before="120" w:after="120" w:line="312" w:lineRule="auto"/>
        <w:ind w:left="1134" w:hanging="425"/>
        <w:rPr>
          <w:rFonts w:ascii="Verdana" w:hAnsi="Verdana"/>
          <w:sz w:val="20"/>
        </w:rPr>
      </w:pPr>
      <w:r>
        <w:rPr>
          <w:rFonts w:ascii="Verdana" w:hAnsi="Verdana"/>
          <w:sz w:val="20"/>
        </w:rPr>
        <w:t>T</w:t>
      </w:r>
      <w:r w:rsidR="00E20CE0">
        <w:rPr>
          <w:rFonts w:ascii="Verdana" w:hAnsi="Verdana"/>
          <w:sz w:val="20"/>
        </w:rPr>
        <w:t xml:space="preserve">he short form and limited consultation process is insufficient to enable robust and comprehensive analysis of </w:t>
      </w:r>
      <w:r w:rsidR="00D87FE4">
        <w:rPr>
          <w:rFonts w:ascii="Verdana" w:hAnsi="Verdana"/>
          <w:sz w:val="20"/>
        </w:rPr>
        <w:t xml:space="preserve">potential new methods to determine the </w:t>
      </w:r>
      <w:r w:rsidR="00E20CE0">
        <w:rPr>
          <w:rFonts w:ascii="Verdana" w:hAnsi="Verdana"/>
          <w:sz w:val="20"/>
        </w:rPr>
        <w:t xml:space="preserve">WACC </w:t>
      </w:r>
      <w:r w:rsidR="00F923B1">
        <w:rPr>
          <w:rFonts w:ascii="Verdana" w:hAnsi="Verdana"/>
          <w:sz w:val="20"/>
        </w:rPr>
        <w:t xml:space="preserve">estimate (i.e. “percentile”). </w:t>
      </w:r>
      <w:r w:rsidR="00E20CE0">
        <w:rPr>
          <w:rFonts w:ascii="Verdana" w:hAnsi="Verdana"/>
          <w:sz w:val="20"/>
        </w:rPr>
        <w:t>The evidence provided by Vector in response to the Commission's invitation is subject to this caveat.</w:t>
      </w:r>
    </w:p>
    <w:p w14:paraId="3E3EF628" w14:textId="2214E322" w:rsidR="00E20CE0" w:rsidRPr="00362E72" w:rsidRDefault="00E20CE0" w:rsidP="00E20CE0">
      <w:pPr>
        <w:numPr>
          <w:ilvl w:val="1"/>
          <w:numId w:val="1"/>
        </w:numPr>
        <w:tabs>
          <w:tab w:val="clear" w:pos="328"/>
          <w:tab w:val="num" w:pos="1134"/>
        </w:tabs>
        <w:spacing w:before="120" w:after="120" w:line="312" w:lineRule="auto"/>
        <w:ind w:left="1134" w:hanging="425"/>
        <w:rPr>
          <w:rFonts w:ascii="Verdana" w:hAnsi="Verdana"/>
          <w:sz w:val="20"/>
        </w:rPr>
      </w:pPr>
      <w:r>
        <w:rPr>
          <w:rFonts w:ascii="Verdana" w:hAnsi="Verdana"/>
          <w:sz w:val="20"/>
        </w:rPr>
        <w:t xml:space="preserve">As the Commission </w:t>
      </w:r>
      <w:r w:rsidR="008226C5" w:rsidRPr="00E20CE0">
        <w:rPr>
          <w:rFonts w:ascii="Verdana" w:hAnsi="Verdana"/>
          <w:sz w:val="20"/>
        </w:rPr>
        <w:t xml:space="preserve">is not seeking submissions on the extent to which a two-tier approach to the WACC may be appropriate, or any </w:t>
      </w:r>
      <w:r w:rsidR="008226C5">
        <w:rPr>
          <w:rFonts w:ascii="Verdana" w:hAnsi="Verdana"/>
          <w:sz w:val="20"/>
        </w:rPr>
        <w:t>other features of the WACC IM</w:t>
      </w:r>
      <w:r w:rsidR="00105961">
        <w:rPr>
          <w:rFonts w:ascii="Verdana" w:hAnsi="Verdana"/>
          <w:sz w:val="20"/>
        </w:rPr>
        <w:t>s,</w:t>
      </w:r>
      <w:r w:rsidR="008226C5">
        <w:rPr>
          <w:rFonts w:ascii="Verdana" w:hAnsi="Verdana"/>
          <w:sz w:val="20"/>
        </w:rPr>
        <w:t xml:space="preserve"> </w:t>
      </w:r>
      <w:r w:rsidR="008226C5" w:rsidRPr="00E20CE0">
        <w:rPr>
          <w:rFonts w:ascii="Verdana" w:hAnsi="Verdana"/>
          <w:sz w:val="20"/>
        </w:rPr>
        <w:t xml:space="preserve">those topics </w:t>
      </w:r>
      <w:r w:rsidR="00EF5FF9">
        <w:rPr>
          <w:rFonts w:ascii="Verdana" w:hAnsi="Verdana"/>
          <w:sz w:val="20"/>
        </w:rPr>
        <w:t xml:space="preserve">are not addressed </w:t>
      </w:r>
      <w:r w:rsidR="008226C5" w:rsidRPr="00E20CE0">
        <w:rPr>
          <w:rFonts w:ascii="Verdana" w:hAnsi="Verdana"/>
          <w:sz w:val="20"/>
        </w:rPr>
        <w:t>in this submission</w:t>
      </w:r>
      <w:r w:rsidR="00EF5FF9">
        <w:rPr>
          <w:rFonts w:ascii="Verdana" w:hAnsi="Verdana"/>
          <w:sz w:val="20"/>
        </w:rPr>
        <w:t xml:space="preserve"> or the accompanying report</w:t>
      </w:r>
      <w:r w:rsidR="00105961">
        <w:rPr>
          <w:rFonts w:ascii="Verdana" w:hAnsi="Verdana"/>
          <w:sz w:val="20"/>
        </w:rPr>
        <w:t>s</w:t>
      </w:r>
      <w:r w:rsidR="008226C5" w:rsidRPr="00E20CE0">
        <w:rPr>
          <w:rFonts w:ascii="Verdana" w:hAnsi="Verdana"/>
          <w:sz w:val="20"/>
        </w:rPr>
        <w:t>.</w:t>
      </w:r>
      <w:r w:rsidR="008226C5">
        <w:rPr>
          <w:rFonts w:ascii="Verdana" w:hAnsi="Verdana"/>
          <w:sz w:val="20"/>
        </w:rPr>
        <w:t xml:space="preserve"> </w:t>
      </w:r>
      <w:r>
        <w:rPr>
          <w:rFonts w:ascii="Verdana" w:hAnsi="Verdana"/>
          <w:sz w:val="20"/>
        </w:rPr>
        <w:t xml:space="preserve">If, during this consultation process, the Commission </w:t>
      </w:r>
      <w:r w:rsidR="00A678F4">
        <w:rPr>
          <w:rFonts w:ascii="Verdana" w:hAnsi="Verdana"/>
          <w:sz w:val="20"/>
        </w:rPr>
        <w:t xml:space="preserve">takes account of </w:t>
      </w:r>
      <w:r>
        <w:rPr>
          <w:rFonts w:ascii="Verdana" w:hAnsi="Verdana"/>
          <w:sz w:val="20"/>
        </w:rPr>
        <w:t>the two</w:t>
      </w:r>
      <w:r w:rsidR="00BC57CF">
        <w:rPr>
          <w:rFonts w:ascii="Verdana" w:hAnsi="Verdana"/>
          <w:sz w:val="20"/>
        </w:rPr>
        <w:t>-</w:t>
      </w:r>
      <w:r>
        <w:rPr>
          <w:rFonts w:ascii="Verdana" w:hAnsi="Verdana"/>
          <w:sz w:val="20"/>
        </w:rPr>
        <w:t xml:space="preserve">tier approach </w:t>
      </w:r>
      <w:r w:rsidR="00A678F4">
        <w:rPr>
          <w:rFonts w:ascii="Verdana" w:hAnsi="Verdana"/>
          <w:sz w:val="20"/>
        </w:rPr>
        <w:t>(</w:t>
      </w:r>
      <w:r>
        <w:rPr>
          <w:rFonts w:ascii="Verdana" w:hAnsi="Verdana"/>
          <w:sz w:val="20"/>
        </w:rPr>
        <w:t>or other aspects of the WACC IM</w:t>
      </w:r>
      <w:r w:rsidR="00BC57CF">
        <w:rPr>
          <w:rFonts w:ascii="Verdana" w:hAnsi="Verdana"/>
          <w:sz w:val="20"/>
        </w:rPr>
        <w:t>s</w:t>
      </w:r>
      <w:r w:rsidR="00A678F4">
        <w:rPr>
          <w:rFonts w:ascii="Verdana" w:hAnsi="Verdana"/>
          <w:sz w:val="20"/>
        </w:rPr>
        <w:t>)</w:t>
      </w:r>
      <w:r>
        <w:rPr>
          <w:rFonts w:ascii="Verdana" w:hAnsi="Verdana"/>
          <w:sz w:val="20"/>
        </w:rPr>
        <w:t xml:space="preserve"> in its reasoning, we would reasonably expect a full and further oppor</w:t>
      </w:r>
      <w:r w:rsidR="008226C5">
        <w:rPr>
          <w:rFonts w:ascii="Verdana" w:hAnsi="Verdana"/>
          <w:sz w:val="20"/>
        </w:rPr>
        <w:t xml:space="preserve">tunity to provide evidence on the </w:t>
      </w:r>
      <w:r>
        <w:rPr>
          <w:rFonts w:ascii="Verdana" w:hAnsi="Verdana"/>
          <w:sz w:val="20"/>
        </w:rPr>
        <w:t>issue</w:t>
      </w:r>
      <w:r w:rsidR="008226C5">
        <w:rPr>
          <w:rFonts w:ascii="Verdana" w:hAnsi="Verdana"/>
          <w:sz w:val="20"/>
        </w:rPr>
        <w:t>s in question</w:t>
      </w:r>
      <w:r>
        <w:rPr>
          <w:rFonts w:ascii="Verdana" w:hAnsi="Verdana"/>
          <w:sz w:val="20"/>
        </w:rPr>
        <w:t>.</w:t>
      </w:r>
    </w:p>
    <w:p w14:paraId="10763E2B" w14:textId="77777777" w:rsidR="004A676C" w:rsidRPr="009304A0" w:rsidRDefault="004A676C" w:rsidP="00683A55">
      <w:pPr>
        <w:numPr>
          <w:ilvl w:val="0"/>
          <w:numId w:val="1"/>
        </w:numPr>
        <w:spacing w:before="120" w:after="120" w:line="312" w:lineRule="auto"/>
        <w:rPr>
          <w:rFonts w:ascii="Verdana" w:hAnsi="Verdana"/>
          <w:i/>
          <w:sz w:val="20"/>
        </w:rPr>
      </w:pPr>
      <w:r w:rsidRPr="002C151E">
        <w:rPr>
          <w:rFonts w:ascii="Verdana" w:hAnsi="Verdana"/>
          <w:sz w:val="20"/>
          <w:lang w:val="en-NZ"/>
        </w:rPr>
        <w:t>Vector’s contact person for this submission is:</w:t>
      </w:r>
    </w:p>
    <w:p w14:paraId="233B9EBC" w14:textId="77777777" w:rsidR="004A676C" w:rsidRPr="009304A0" w:rsidRDefault="004A676C" w:rsidP="00683A55">
      <w:pPr>
        <w:spacing w:line="312" w:lineRule="auto"/>
        <w:ind w:left="1440"/>
        <w:rPr>
          <w:rFonts w:ascii="Verdana" w:hAnsi="Verdana"/>
          <w:sz w:val="20"/>
          <w:lang w:val="en-NZ"/>
        </w:rPr>
      </w:pPr>
      <w:r w:rsidRPr="002C151E">
        <w:rPr>
          <w:rFonts w:ascii="Verdana" w:hAnsi="Verdana"/>
          <w:sz w:val="20"/>
          <w:lang w:val="en-NZ"/>
        </w:rPr>
        <w:t>Allan Carvell</w:t>
      </w:r>
    </w:p>
    <w:p w14:paraId="41456518" w14:textId="77777777" w:rsidR="004A676C" w:rsidRPr="009304A0" w:rsidRDefault="004A676C" w:rsidP="00683A55">
      <w:pPr>
        <w:spacing w:line="312" w:lineRule="auto"/>
        <w:ind w:left="1440"/>
        <w:rPr>
          <w:rFonts w:ascii="Verdana" w:hAnsi="Verdana"/>
          <w:sz w:val="20"/>
          <w:lang w:val="en-NZ"/>
        </w:rPr>
      </w:pPr>
      <w:r w:rsidRPr="002C151E">
        <w:rPr>
          <w:rFonts w:ascii="Verdana" w:hAnsi="Verdana"/>
          <w:sz w:val="20"/>
          <w:lang w:val="en-NZ"/>
        </w:rPr>
        <w:t>Group General Manager Commercial and Regulatory Affairs</w:t>
      </w:r>
    </w:p>
    <w:p w14:paraId="1E44188C" w14:textId="77777777" w:rsidR="004A676C" w:rsidRPr="009304A0" w:rsidRDefault="004A676C" w:rsidP="00683A55">
      <w:pPr>
        <w:spacing w:line="312" w:lineRule="auto"/>
        <w:ind w:left="1440"/>
        <w:rPr>
          <w:rFonts w:ascii="Verdana" w:hAnsi="Verdana"/>
          <w:sz w:val="20"/>
          <w:lang w:val="en-NZ"/>
        </w:rPr>
      </w:pPr>
      <w:r w:rsidRPr="002C151E">
        <w:rPr>
          <w:rFonts w:ascii="Verdana" w:hAnsi="Verdana"/>
          <w:sz w:val="20"/>
          <w:lang w:val="en-NZ"/>
        </w:rPr>
        <w:t>09 978 8340</w:t>
      </w:r>
    </w:p>
    <w:p w14:paraId="356E69A2" w14:textId="77777777" w:rsidR="004A676C" w:rsidRPr="009304A0" w:rsidRDefault="00F54605" w:rsidP="00683A55">
      <w:pPr>
        <w:spacing w:line="312" w:lineRule="auto"/>
        <w:ind w:left="1440"/>
        <w:rPr>
          <w:rFonts w:ascii="Verdana" w:hAnsi="Verdana"/>
          <w:sz w:val="20"/>
          <w:lang w:val="en-NZ"/>
        </w:rPr>
      </w:pPr>
      <w:hyperlink r:id="rId13" w:history="1">
        <w:r w:rsidR="004A676C">
          <w:rPr>
            <w:rStyle w:val="Hyperlink"/>
            <w:rFonts w:ascii="Verdana" w:hAnsi="Verdana"/>
            <w:sz w:val="20"/>
            <w:lang w:val="en-NZ"/>
          </w:rPr>
          <w:t>allan.carvell@vector.co.nz</w:t>
        </w:r>
      </w:hyperlink>
      <w:r w:rsidR="004A676C" w:rsidRPr="002C151E">
        <w:rPr>
          <w:rFonts w:ascii="Verdana" w:hAnsi="Verdana"/>
          <w:sz w:val="20"/>
          <w:lang w:val="en-NZ"/>
        </w:rPr>
        <w:t xml:space="preserve">  </w:t>
      </w:r>
    </w:p>
    <w:p w14:paraId="67D73D39" w14:textId="165A5809" w:rsidR="004A676C" w:rsidRPr="00840A76" w:rsidRDefault="004A676C" w:rsidP="00EF5FF9">
      <w:pPr>
        <w:pStyle w:val="Heading1"/>
        <w:spacing w:after="240" w:line="240" w:lineRule="auto"/>
        <w:rPr>
          <w:rFonts w:ascii="Verdana" w:hAnsi="Verdana"/>
          <w:sz w:val="20"/>
          <w:szCs w:val="20"/>
        </w:rPr>
      </w:pPr>
      <w:bookmarkStart w:id="12" w:name="_Toc385943243"/>
      <w:bookmarkStart w:id="13" w:name="_Toc387068640"/>
      <w:r>
        <w:rPr>
          <w:rFonts w:ascii="Verdana" w:hAnsi="Verdana"/>
          <w:sz w:val="20"/>
          <w:szCs w:val="20"/>
          <w:lang w:val="en-NZ"/>
        </w:rPr>
        <w:t xml:space="preserve">Strong </w:t>
      </w:r>
      <w:r w:rsidR="00A50304">
        <w:rPr>
          <w:rFonts w:ascii="Verdana" w:hAnsi="Verdana"/>
          <w:sz w:val="20"/>
          <w:szCs w:val="20"/>
          <w:lang w:val="en-NZ"/>
        </w:rPr>
        <w:t>conceptual</w:t>
      </w:r>
      <w:r>
        <w:rPr>
          <w:rFonts w:ascii="Verdana" w:hAnsi="Verdana"/>
          <w:sz w:val="20"/>
          <w:szCs w:val="20"/>
          <w:lang w:val="en-NZ"/>
        </w:rPr>
        <w:t xml:space="preserve"> </w:t>
      </w:r>
      <w:r w:rsidRPr="00840A76">
        <w:rPr>
          <w:rFonts w:ascii="Verdana" w:hAnsi="Verdana"/>
          <w:sz w:val="20"/>
          <w:szCs w:val="20"/>
        </w:rPr>
        <w:t>support for WACC above midpoint</w:t>
      </w:r>
      <w:bookmarkEnd w:id="12"/>
      <w:bookmarkEnd w:id="13"/>
    </w:p>
    <w:p w14:paraId="47549796" w14:textId="22F00C17" w:rsidR="004A676C" w:rsidRDefault="004A676C" w:rsidP="00683A55">
      <w:pPr>
        <w:numPr>
          <w:ilvl w:val="0"/>
          <w:numId w:val="1"/>
        </w:numPr>
        <w:spacing w:before="120" w:after="120" w:line="312" w:lineRule="auto"/>
        <w:rPr>
          <w:rFonts w:ascii="Verdana" w:hAnsi="Verdana"/>
          <w:sz w:val="20"/>
        </w:rPr>
      </w:pPr>
      <w:r>
        <w:rPr>
          <w:rFonts w:ascii="Verdana" w:hAnsi="Verdana"/>
          <w:sz w:val="20"/>
        </w:rPr>
        <w:t>The question posed by the Commission in this consultation round is narrow, relating only to evidence regarding the appropriate WACC percentile.  However, it is important to place that question in context.  That context is that t</w:t>
      </w:r>
      <w:r w:rsidRPr="00D534DA">
        <w:rPr>
          <w:rFonts w:ascii="Verdana" w:hAnsi="Verdana"/>
          <w:sz w:val="20"/>
        </w:rPr>
        <w:t xml:space="preserve">here is strong </w:t>
      </w:r>
      <w:r w:rsidR="00A50304">
        <w:rPr>
          <w:rFonts w:ascii="Verdana" w:hAnsi="Verdana"/>
          <w:sz w:val="20"/>
        </w:rPr>
        <w:t>conceptual</w:t>
      </w:r>
      <w:r>
        <w:rPr>
          <w:rFonts w:ascii="Verdana" w:hAnsi="Verdana"/>
          <w:sz w:val="20"/>
        </w:rPr>
        <w:t xml:space="preserve"> </w:t>
      </w:r>
      <w:r w:rsidRPr="00D534DA">
        <w:rPr>
          <w:rFonts w:ascii="Verdana" w:hAnsi="Verdana"/>
          <w:sz w:val="20"/>
        </w:rPr>
        <w:t>support for the proposition that the risks in relation to regulatory error in setting the WACC are asymmetric, such that the regulatory WACC should be set above the midpoint estimate</w:t>
      </w:r>
      <w:r>
        <w:rPr>
          <w:rFonts w:ascii="Verdana" w:hAnsi="Verdana"/>
          <w:sz w:val="20"/>
        </w:rPr>
        <w:t xml:space="preserve">.  </w:t>
      </w:r>
      <w:r w:rsidR="009768A7">
        <w:rPr>
          <w:rFonts w:ascii="Verdana" w:hAnsi="Verdana"/>
          <w:sz w:val="20"/>
        </w:rPr>
        <w:t>Indeed</w:t>
      </w:r>
      <w:r w:rsidR="00AF2A39">
        <w:rPr>
          <w:rFonts w:ascii="Verdana" w:hAnsi="Verdana"/>
          <w:sz w:val="20"/>
        </w:rPr>
        <w:t>,</w:t>
      </w:r>
      <w:r w:rsidR="009768A7">
        <w:rPr>
          <w:rFonts w:ascii="Verdana" w:hAnsi="Verdana"/>
          <w:sz w:val="20"/>
        </w:rPr>
        <w:t xml:space="preserve"> this is the position that has been adopted </w:t>
      </w:r>
      <w:r w:rsidR="009768A7">
        <w:rPr>
          <w:rFonts w:ascii="Verdana" w:hAnsi="Verdana"/>
          <w:sz w:val="20"/>
        </w:rPr>
        <w:lastRenderedPageBreak/>
        <w:t>by the Commission in the current WACC IM</w:t>
      </w:r>
      <w:r w:rsidR="00BC57CF">
        <w:rPr>
          <w:rFonts w:ascii="Verdana" w:hAnsi="Verdana"/>
          <w:sz w:val="20"/>
        </w:rPr>
        <w:t>s</w:t>
      </w:r>
      <w:r w:rsidR="009768A7">
        <w:rPr>
          <w:rFonts w:ascii="Verdana" w:hAnsi="Verdana"/>
          <w:sz w:val="20"/>
        </w:rPr>
        <w:t xml:space="preserve">. </w:t>
      </w:r>
      <w:r>
        <w:rPr>
          <w:rFonts w:ascii="Verdana" w:hAnsi="Verdana"/>
          <w:sz w:val="20"/>
        </w:rPr>
        <w:t>We set out key aspects of this support below.</w:t>
      </w:r>
    </w:p>
    <w:p w14:paraId="13483434" w14:textId="77777777" w:rsidR="004A676C" w:rsidRDefault="004A676C" w:rsidP="00683A55">
      <w:pPr>
        <w:numPr>
          <w:ilvl w:val="0"/>
          <w:numId w:val="1"/>
        </w:numPr>
        <w:spacing w:before="120" w:after="120" w:line="312" w:lineRule="auto"/>
        <w:rPr>
          <w:rFonts w:ascii="Verdana" w:hAnsi="Verdana"/>
          <w:sz w:val="20"/>
        </w:rPr>
      </w:pPr>
      <w:bookmarkStart w:id="14" w:name="_Ref386471447"/>
      <w:r>
        <w:rPr>
          <w:rFonts w:ascii="Verdana" w:hAnsi="Verdana"/>
          <w:sz w:val="20"/>
        </w:rPr>
        <w:t>First, the Commission's own economic advisers have consistently supported setting the regulatory WACC above the midpoint estimate, both prior to the inception of Part 4 and in the context of consultation on the WACC IM</w:t>
      </w:r>
      <w:r w:rsidR="00105961">
        <w:rPr>
          <w:rFonts w:ascii="Verdana" w:hAnsi="Verdana"/>
          <w:sz w:val="20"/>
        </w:rPr>
        <w:t>s</w:t>
      </w:r>
      <w:r>
        <w:rPr>
          <w:rFonts w:ascii="Verdana" w:hAnsi="Verdana"/>
          <w:sz w:val="20"/>
        </w:rPr>
        <w:t xml:space="preserve">.  In the control </w:t>
      </w:r>
      <w:r w:rsidR="00BC57CF">
        <w:rPr>
          <w:rFonts w:ascii="Verdana" w:hAnsi="Verdana"/>
          <w:sz w:val="20"/>
        </w:rPr>
        <w:t>i</w:t>
      </w:r>
      <w:r>
        <w:rPr>
          <w:rFonts w:ascii="Verdana" w:hAnsi="Verdana"/>
          <w:sz w:val="20"/>
        </w:rPr>
        <w:t>nquiries under the previous regulatory regime, Dr Lally (for the Commission) expressly endorsed a regulatory WACC above the midpoint because of the asymmetric risks of regulatory error.</w:t>
      </w:r>
      <w:r>
        <w:rPr>
          <w:rStyle w:val="FootnoteReference"/>
          <w:rFonts w:ascii="Verdana" w:hAnsi="Verdana"/>
          <w:sz w:val="20"/>
        </w:rPr>
        <w:footnoteReference w:id="1"/>
      </w:r>
      <w:r>
        <w:rPr>
          <w:rFonts w:ascii="Verdana" w:hAnsi="Verdana"/>
          <w:sz w:val="20"/>
        </w:rPr>
        <w:t xml:space="preserve">  In consultation on the WACC IM</w:t>
      </w:r>
      <w:r w:rsidR="00105961">
        <w:rPr>
          <w:rFonts w:ascii="Verdana" w:hAnsi="Verdana"/>
          <w:sz w:val="20"/>
        </w:rPr>
        <w:t>s</w:t>
      </w:r>
      <w:r>
        <w:rPr>
          <w:rFonts w:ascii="Verdana" w:hAnsi="Verdana"/>
          <w:sz w:val="20"/>
        </w:rPr>
        <w:t>, the Commission's advisors again recommended this approach:</w:t>
      </w:r>
      <w:r>
        <w:rPr>
          <w:rStyle w:val="FootnoteReference"/>
          <w:rFonts w:ascii="Verdana" w:hAnsi="Verdana"/>
          <w:sz w:val="20"/>
        </w:rPr>
        <w:footnoteReference w:id="2"/>
      </w:r>
      <w:bookmarkEnd w:id="14"/>
    </w:p>
    <w:p w14:paraId="54077925" w14:textId="77777777" w:rsidR="004A676C" w:rsidRDefault="004A676C" w:rsidP="00683A55">
      <w:pPr>
        <w:pStyle w:val="Quote"/>
        <w:spacing w:before="120" w:after="120"/>
        <w:rPr>
          <w:rFonts w:ascii="Verdana" w:hAnsi="Verdana"/>
        </w:rPr>
      </w:pPr>
      <w:r w:rsidRPr="004D22E3">
        <w:rPr>
          <w:rFonts w:ascii="Verdana" w:hAnsi="Verdana"/>
        </w:rPr>
        <w:t xml:space="preserve">155. As a general principle, the Commission considers that the costs of setting allowed returns too low outweigh the costs of setting them too high. Therefore, the Commission generally chooses WACC values either equal to, or greater than, the midpoint of the estimated range. Professors Myers and Franks agree with this principle.  </w:t>
      </w:r>
    </w:p>
    <w:p w14:paraId="3DBF5A81" w14:textId="77777777" w:rsidR="004A676C" w:rsidRPr="00B7754C" w:rsidRDefault="004A676C" w:rsidP="00683A55">
      <w:pPr>
        <w:pStyle w:val="Quote"/>
        <w:spacing w:before="120" w:after="120"/>
        <w:rPr>
          <w:rFonts w:ascii="Verdana" w:hAnsi="Verdana"/>
        </w:rPr>
      </w:pPr>
      <w:r w:rsidRPr="004D22E3">
        <w:rPr>
          <w:rFonts w:ascii="Verdana" w:hAnsi="Verdana"/>
        </w:rPr>
        <w:t xml:space="preserve">156. Dr </w:t>
      </w:r>
      <w:proofErr w:type="spellStart"/>
      <w:r w:rsidRPr="004D22E3">
        <w:rPr>
          <w:rFonts w:ascii="Verdana" w:hAnsi="Verdana"/>
        </w:rPr>
        <w:t>Lally</w:t>
      </w:r>
      <w:r w:rsidR="00F858AA">
        <w:rPr>
          <w:rFonts w:ascii="Verdana" w:hAnsi="Verdana"/>
        </w:rPr>
        <w:t>'</w:t>
      </w:r>
      <w:r w:rsidRPr="004D22E3">
        <w:rPr>
          <w:rFonts w:ascii="Verdana" w:hAnsi="Verdana"/>
        </w:rPr>
        <w:t>s</w:t>
      </w:r>
      <w:proofErr w:type="spellEnd"/>
      <w:r w:rsidRPr="004D22E3">
        <w:rPr>
          <w:rFonts w:ascii="Verdana" w:hAnsi="Verdana"/>
        </w:rPr>
        <w:t xml:space="preserve"> view is that the Commission needs to specify a WACC value that is strictly greater than the midpoint of the range, not simply equal to it. Several submitters (ABN AMRO; JB Were; LECG; NERA; PWC; Transpower; Vodafone) have urged the Commission to consistently select values from the upper end of the estimated WACC range.</w:t>
      </w:r>
    </w:p>
    <w:p w14:paraId="70FFED70" w14:textId="77777777" w:rsidR="004A676C" w:rsidRDefault="00D87FE4" w:rsidP="00683A55">
      <w:pPr>
        <w:numPr>
          <w:ilvl w:val="0"/>
          <w:numId w:val="1"/>
        </w:numPr>
        <w:spacing w:before="120" w:after="120" w:line="312" w:lineRule="auto"/>
        <w:rPr>
          <w:rFonts w:ascii="Verdana" w:hAnsi="Verdana"/>
          <w:sz w:val="20"/>
        </w:rPr>
      </w:pPr>
      <w:r>
        <w:rPr>
          <w:rFonts w:ascii="Verdana" w:hAnsi="Verdana"/>
          <w:sz w:val="20"/>
        </w:rPr>
        <w:t>Second</w:t>
      </w:r>
      <w:r w:rsidR="004A676C">
        <w:rPr>
          <w:rFonts w:ascii="Verdana" w:hAnsi="Verdana"/>
          <w:sz w:val="20"/>
        </w:rPr>
        <w:t>, the proposition was also endorsed by a significant number of experts on behalf of submitters in the WACC IM</w:t>
      </w:r>
      <w:r w:rsidR="00105961">
        <w:rPr>
          <w:rFonts w:ascii="Verdana" w:hAnsi="Verdana"/>
          <w:sz w:val="20"/>
        </w:rPr>
        <w:t>s</w:t>
      </w:r>
      <w:r w:rsidR="004A676C">
        <w:rPr>
          <w:rFonts w:ascii="Verdana" w:hAnsi="Verdana"/>
          <w:sz w:val="20"/>
        </w:rPr>
        <w:t xml:space="preserve"> consultation process.</w:t>
      </w:r>
      <w:r w:rsidR="004A676C">
        <w:rPr>
          <w:rStyle w:val="FootnoteReference"/>
          <w:rFonts w:ascii="Verdana" w:hAnsi="Verdana"/>
          <w:sz w:val="20"/>
        </w:rPr>
        <w:footnoteReference w:id="3"/>
      </w:r>
      <w:r w:rsidR="004A676C">
        <w:rPr>
          <w:rFonts w:ascii="Verdana" w:hAnsi="Verdana"/>
          <w:sz w:val="20"/>
        </w:rPr>
        <w:t xml:space="preserve">  Notably, although MEUG consistently opposed the use of a regulatory WACC above the midpoint estimate, it did not provide any expert evidence in support of its position.  </w:t>
      </w:r>
    </w:p>
    <w:p w14:paraId="2544D514" w14:textId="6E0C9862" w:rsidR="004A676C" w:rsidRDefault="00D87FE4" w:rsidP="00683A55">
      <w:pPr>
        <w:numPr>
          <w:ilvl w:val="0"/>
          <w:numId w:val="1"/>
        </w:numPr>
        <w:spacing w:before="120" w:after="120" w:line="312" w:lineRule="auto"/>
        <w:rPr>
          <w:rFonts w:ascii="Verdana" w:hAnsi="Verdana"/>
          <w:sz w:val="20"/>
        </w:rPr>
      </w:pPr>
      <w:bookmarkStart w:id="15" w:name="_Ref386471963"/>
      <w:r>
        <w:rPr>
          <w:rFonts w:ascii="Verdana" w:hAnsi="Verdana"/>
          <w:sz w:val="20"/>
        </w:rPr>
        <w:t>Third</w:t>
      </w:r>
      <w:r w:rsidR="004A676C">
        <w:rPr>
          <w:rFonts w:ascii="Verdana" w:hAnsi="Verdana"/>
          <w:sz w:val="20"/>
        </w:rPr>
        <w:t xml:space="preserve">, the Commission </w:t>
      </w:r>
      <w:r w:rsidR="00AF2A39">
        <w:rPr>
          <w:rFonts w:ascii="Verdana" w:hAnsi="Verdana"/>
          <w:sz w:val="20"/>
        </w:rPr>
        <w:t>has</w:t>
      </w:r>
      <w:r w:rsidR="004A676C">
        <w:rPr>
          <w:rFonts w:ascii="Verdana" w:hAnsi="Verdana"/>
          <w:sz w:val="20"/>
        </w:rPr>
        <w:t xml:space="preserve"> itself </w:t>
      </w:r>
      <w:r w:rsidR="00AF2A39">
        <w:rPr>
          <w:rFonts w:ascii="Verdana" w:hAnsi="Verdana"/>
          <w:sz w:val="20"/>
        </w:rPr>
        <w:t xml:space="preserve">adopted the approach that </w:t>
      </w:r>
      <w:r w:rsidR="004A676C">
        <w:rPr>
          <w:rFonts w:ascii="Verdana" w:hAnsi="Verdana"/>
          <w:sz w:val="20"/>
        </w:rPr>
        <w:t>the regulatory WACC for E</w:t>
      </w:r>
      <w:r w:rsidR="00F858AA">
        <w:rPr>
          <w:rFonts w:ascii="Verdana" w:hAnsi="Verdana"/>
          <w:sz w:val="20"/>
        </w:rPr>
        <w:t>lectricity Distribution Services (E</w:t>
      </w:r>
      <w:r w:rsidR="004A676C">
        <w:rPr>
          <w:rFonts w:ascii="Verdana" w:hAnsi="Verdana"/>
          <w:sz w:val="20"/>
        </w:rPr>
        <w:t>DSs</w:t>
      </w:r>
      <w:r w:rsidR="00F858AA">
        <w:rPr>
          <w:rFonts w:ascii="Verdana" w:hAnsi="Verdana"/>
          <w:sz w:val="20"/>
        </w:rPr>
        <w:t>)</w:t>
      </w:r>
      <w:r w:rsidR="00573241">
        <w:rPr>
          <w:rFonts w:ascii="Verdana" w:hAnsi="Verdana"/>
          <w:sz w:val="20"/>
        </w:rPr>
        <w:t>,</w:t>
      </w:r>
      <w:r w:rsidR="004A676C">
        <w:rPr>
          <w:rFonts w:ascii="Verdana" w:hAnsi="Verdana"/>
          <w:sz w:val="20"/>
        </w:rPr>
        <w:t xml:space="preserve"> </w:t>
      </w:r>
      <w:r w:rsidR="00F858AA">
        <w:rPr>
          <w:rFonts w:ascii="Verdana" w:hAnsi="Verdana"/>
          <w:sz w:val="20"/>
        </w:rPr>
        <w:t>Gas Pipeline Services (</w:t>
      </w:r>
      <w:r w:rsidR="004A676C">
        <w:rPr>
          <w:rFonts w:ascii="Verdana" w:hAnsi="Verdana"/>
          <w:sz w:val="20"/>
        </w:rPr>
        <w:t>GPS</w:t>
      </w:r>
      <w:r w:rsidR="00105961">
        <w:rPr>
          <w:rFonts w:ascii="Verdana" w:hAnsi="Verdana"/>
          <w:sz w:val="20"/>
        </w:rPr>
        <w:t>s</w:t>
      </w:r>
      <w:r w:rsidR="00F858AA">
        <w:rPr>
          <w:rFonts w:ascii="Verdana" w:hAnsi="Verdana"/>
          <w:sz w:val="20"/>
        </w:rPr>
        <w:t>)</w:t>
      </w:r>
      <w:r w:rsidR="00573241">
        <w:rPr>
          <w:rFonts w:ascii="Verdana" w:hAnsi="Verdana"/>
          <w:sz w:val="20"/>
        </w:rPr>
        <w:t xml:space="preserve"> and Transpower</w:t>
      </w:r>
      <w:r w:rsidR="004A676C">
        <w:rPr>
          <w:rFonts w:ascii="Verdana" w:hAnsi="Verdana"/>
          <w:sz w:val="20"/>
        </w:rPr>
        <w:t xml:space="preserve"> should be set above the midpoint estimate.  As set out in the Final Reasons Paper:</w:t>
      </w:r>
      <w:r w:rsidR="004A676C">
        <w:rPr>
          <w:rStyle w:val="FootnoteReference"/>
          <w:rFonts w:ascii="Verdana" w:hAnsi="Verdana"/>
          <w:sz w:val="20"/>
        </w:rPr>
        <w:footnoteReference w:id="4"/>
      </w:r>
      <w:bookmarkEnd w:id="15"/>
    </w:p>
    <w:p w14:paraId="5CAF2F9D" w14:textId="77777777" w:rsidR="004A676C" w:rsidRDefault="004A676C" w:rsidP="00683A55">
      <w:pPr>
        <w:pStyle w:val="Quote"/>
        <w:spacing w:before="120" w:after="120"/>
        <w:rPr>
          <w:rFonts w:ascii="Verdana" w:hAnsi="Verdana"/>
        </w:rPr>
      </w:pPr>
      <w:r w:rsidRPr="004D22E3">
        <w:rPr>
          <w:rFonts w:ascii="Verdana" w:hAnsi="Verdana"/>
        </w:rPr>
        <w:t xml:space="preserve">The reason for the Commission adopting a cost of capital estimate that is above the mid-point for default/customised price-quality regulation, is that it considers the social costs associated with underestimation of the cost of capital in a regulatory setting involving constraining pricing to end users (as opposed to information disclosure applications and situations involving competition among suppliers), are likely to outweigh the short-term costs of overestimation (i.e. if the cost of capital is set too low, the incentives for suppliers to undertake efficient </w:t>
      </w:r>
      <w:r w:rsidRPr="004D22E3">
        <w:rPr>
          <w:rFonts w:ascii="Verdana" w:hAnsi="Verdana"/>
        </w:rPr>
        <w:lastRenderedPageBreak/>
        <w:t>investments will be reduced, which would be inconsistent with the long-term benefit of consumers). That is, the Commission is acknowledging that where there is potentially a trade-off between dynamic efficiency (i.e. incentives to invest) and static allocative efficiency (i.e. higher short-term pricing), the Commission will always favour outcomes that promote dynamic efficiency. The reason is that dynamic efficiency promotes investment over time and ensures the longer term supply of the service, which thereby promotes the long-term benefit of consumers (consistent with outcomes in workably competitive markets).</w:t>
      </w:r>
    </w:p>
    <w:p w14:paraId="47C28196" w14:textId="77777777" w:rsidR="004A676C" w:rsidRDefault="004A676C" w:rsidP="00683A55">
      <w:pPr>
        <w:numPr>
          <w:ilvl w:val="0"/>
          <w:numId w:val="1"/>
        </w:numPr>
        <w:spacing w:before="120" w:after="120" w:line="312" w:lineRule="auto"/>
        <w:rPr>
          <w:rFonts w:ascii="Verdana" w:hAnsi="Verdana"/>
          <w:sz w:val="20"/>
        </w:rPr>
      </w:pPr>
      <w:r>
        <w:rPr>
          <w:rFonts w:ascii="Verdana" w:hAnsi="Verdana"/>
          <w:sz w:val="20"/>
        </w:rPr>
        <w:t>This approach is consistent with that of o</w:t>
      </w:r>
      <w:r w:rsidRPr="004430A8">
        <w:rPr>
          <w:rFonts w:ascii="Verdana" w:hAnsi="Verdana"/>
          <w:sz w:val="20"/>
        </w:rPr>
        <w:t>verseas regulators</w:t>
      </w:r>
      <w:r>
        <w:rPr>
          <w:rFonts w:ascii="Verdana" w:hAnsi="Verdana"/>
          <w:sz w:val="20"/>
        </w:rPr>
        <w:t>, who</w:t>
      </w:r>
      <w:r w:rsidRPr="004430A8">
        <w:rPr>
          <w:rFonts w:ascii="Verdana" w:hAnsi="Verdana"/>
          <w:sz w:val="20"/>
        </w:rPr>
        <w:t xml:space="preserve"> also often make adjustments to account for the asymmetric cost of WACC estimation error, although they use a variety of methods to do so (</w:t>
      </w:r>
      <w:r w:rsidRPr="004D22E3">
        <w:rPr>
          <w:rFonts w:ascii="Verdana" w:hAnsi="Verdana"/>
          <w:b/>
          <w:sz w:val="20"/>
        </w:rPr>
        <w:t>Appendix 1</w:t>
      </w:r>
      <w:r w:rsidRPr="004430A8">
        <w:rPr>
          <w:rFonts w:ascii="Verdana" w:hAnsi="Verdana"/>
          <w:sz w:val="20"/>
        </w:rPr>
        <w:t xml:space="preserve"> </w:t>
      </w:r>
      <w:r>
        <w:rPr>
          <w:rFonts w:ascii="Verdana" w:hAnsi="Verdana"/>
          <w:sz w:val="20"/>
        </w:rPr>
        <w:t>sets out</w:t>
      </w:r>
      <w:r w:rsidRPr="004430A8">
        <w:rPr>
          <w:rFonts w:ascii="Verdana" w:hAnsi="Verdana"/>
          <w:sz w:val="20"/>
        </w:rPr>
        <w:t xml:space="preserve"> relevant precedent in this regard</w:t>
      </w:r>
      <w:r>
        <w:rPr>
          <w:rFonts w:ascii="Verdana" w:hAnsi="Verdana"/>
          <w:sz w:val="20"/>
        </w:rPr>
        <w:t>, as previously provided by Vector in this consultation process</w:t>
      </w:r>
      <w:r w:rsidRPr="004430A8">
        <w:rPr>
          <w:rFonts w:ascii="Verdana" w:hAnsi="Verdana"/>
          <w:sz w:val="20"/>
        </w:rPr>
        <w:t>).</w:t>
      </w:r>
    </w:p>
    <w:p w14:paraId="0BF23262" w14:textId="6E70357E" w:rsidR="004A676C" w:rsidRDefault="004A676C" w:rsidP="00683A55">
      <w:pPr>
        <w:numPr>
          <w:ilvl w:val="0"/>
          <w:numId w:val="1"/>
        </w:numPr>
        <w:spacing w:before="120" w:after="120" w:line="312" w:lineRule="auto"/>
        <w:rPr>
          <w:rFonts w:ascii="Verdana" w:hAnsi="Verdana"/>
          <w:sz w:val="20"/>
        </w:rPr>
      </w:pPr>
      <w:r>
        <w:rPr>
          <w:rFonts w:ascii="Verdana" w:hAnsi="Verdana"/>
          <w:sz w:val="20"/>
        </w:rPr>
        <w:t xml:space="preserve">The Sapere report that accompanies this submission sets out the grounds for the conclusion that the </w:t>
      </w:r>
      <w:r w:rsidRPr="00D534DA">
        <w:rPr>
          <w:rFonts w:ascii="Verdana" w:hAnsi="Verdana"/>
          <w:sz w:val="20"/>
        </w:rPr>
        <w:t xml:space="preserve">risks in relation to regulatory error in setting the WACC are asymmetric, such that the regulatory WACC should be set </w:t>
      </w:r>
      <w:r w:rsidR="00A50304">
        <w:rPr>
          <w:rFonts w:ascii="Verdana" w:hAnsi="Verdana"/>
          <w:sz w:val="20"/>
        </w:rPr>
        <w:t xml:space="preserve">well </w:t>
      </w:r>
      <w:r w:rsidRPr="00D534DA">
        <w:rPr>
          <w:rFonts w:ascii="Verdana" w:hAnsi="Verdana"/>
          <w:sz w:val="20"/>
        </w:rPr>
        <w:t>above the midpoint estimate</w:t>
      </w:r>
      <w:r>
        <w:rPr>
          <w:rFonts w:ascii="Verdana" w:hAnsi="Verdana"/>
          <w:sz w:val="20"/>
        </w:rPr>
        <w:t xml:space="preserve">.  In summary, </w:t>
      </w:r>
      <w:proofErr w:type="spellStart"/>
      <w:r>
        <w:rPr>
          <w:rFonts w:ascii="Verdana" w:hAnsi="Verdana"/>
          <w:sz w:val="20"/>
        </w:rPr>
        <w:t>Sapere</w:t>
      </w:r>
      <w:r w:rsidR="00B8485F">
        <w:rPr>
          <w:rFonts w:ascii="Verdana" w:hAnsi="Verdana"/>
          <w:sz w:val="20"/>
        </w:rPr>
        <w:t>’s</w:t>
      </w:r>
      <w:proofErr w:type="spellEnd"/>
      <w:r w:rsidR="00B8485F">
        <w:rPr>
          <w:rFonts w:ascii="Verdana" w:hAnsi="Verdana"/>
          <w:sz w:val="20"/>
        </w:rPr>
        <w:t xml:space="preserve"> report</w:t>
      </w:r>
      <w:r>
        <w:rPr>
          <w:rFonts w:ascii="Verdana" w:hAnsi="Verdana"/>
          <w:sz w:val="20"/>
        </w:rPr>
        <w:t xml:space="preserve"> </w:t>
      </w:r>
      <w:r w:rsidR="00B8485F">
        <w:rPr>
          <w:rFonts w:ascii="Verdana" w:hAnsi="Verdana"/>
          <w:sz w:val="20"/>
        </w:rPr>
        <w:t>find</w:t>
      </w:r>
      <w:r>
        <w:rPr>
          <w:rFonts w:ascii="Verdana" w:hAnsi="Verdana"/>
          <w:sz w:val="20"/>
        </w:rPr>
        <w:t>s that, given the relatively inelastic demand for electricity and gas distribution services, the deadweight losses associated with prices that are inefficiently high are relatively small, whereas the welfare losses associated with the deferred or cancelled investment in network assets that would result if the regulatory WACC was set too low are significant.</w:t>
      </w:r>
      <w:r w:rsidR="001560AD" w:rsidRPr="001560AD">
        <w:rPr>
          <w:rStyle w:val="FootnoteReference"/>
          <w:rFonts w:ascii="Verdana" w:hAnsi="Verdana"/>
          <w:sz w:val="20"/>
        </w:rPr>
        <w:footnoteReference w:id="5"/>
      </w:r>
    </w:p>
    <w:p w14:paraId="04ADD416" w14:textId="61C11B1B" w:rsidR="004A676C" w:rsidRPr="00904F0A" w:rsidRDefault="004A676C" w:rsidP="00904F0A">
      <w:pPr>
        <w:numPr>
          <w:ilvl w:val="0"/>
          <w:numId w:val="1"/>
        </w:numPr>
        <w:spacing w:before="120" w:after="120" w:line="312" w:lineRule="auto"/>
        <w:rPr>
          <w:rFonts w:ascii="Verdana" w:hAnsi="Verdana"/>
          <w:sz w:val="20"/>
        </w:rPr>
      </w:pPr>
      <w:bookmarkStart w:id="16" w:name="_Ref386471451"/>
      <w:r w:rsidRPr="00904F0A">
        <w:rPr>
          <w:rFonts w:ascii="Verdana" w:hAnsi="Verdana"/>
          <w:sz w:val="20"/>
        </w:rPr>
        <w:t xml:space="preserve">In summary, then, the starting point for the current consultation is that there is </w:t>
      </w:r>
      <w:r w:rsidRPr="00E67622">
        <w:rPr>
          <w:rFonts w:ascii="Verdana" w:hAnsi="Verdana"/>
          <w:sz w:val="20"/>
        </w:rPr>
        <w:t xml:space="preserve">strong and broad-based support for setting </w:t>
      </w:r>
      <w:r w:rsidRPr="0070143F">
        <w:rPr>
          <w:rFonts w:ascii="Verdana" w:hAnsi="Verdana"/>
          <w:sz w:val="20"/>
        </w:rPr>
        <w:t xml:space="preserve">the regulatory WACC </w:t>
      </w:r>
      <w:r w:rsidR="00A50304" w:rsidRPr="00904F0A">
        <w:rPr>
          <w:rFonts w:ascii="Verdana" w:hAnsi="Verdana"/>
          <w:sz w:val="20"/>
        </w:rPr>
        <w:t xml:space="preserve">well </w:t>
      </w:r>
      <w:r w:rsidRPr="00904F0A">
        <w:rPr>
          <w:rFonts w:ascii="Verdana" w:hAnsi="Verdana"/>
          <w:sz w:val="20"/>
        </w:rPr>
        <w:t xml:space="preserve">above the midpoint estimate.  </w:t>
      </w:r>
      <w:r w:rsidR="00D24FE4" w:rsidRPr="00904F0A">
        <w:rPr>
          <w:rFonts w:ascii="Verdana" w:hAnsi="Verdana"/>
          <w:sz w:val="20"/>
        </w:rPr>
        <w:t>Further, a</w:t>
      </w:r>
      <w:r w:rsidR="00CC0344" w:rsidRPr="00904F0A">
        <w:rPr>
          <w:rFonts w:ascii="Verdana" w:hAnsi="Verdana"/>
          <w:sz w:val="20"/>
        </w:rPr>
        <w:t>nd critically, the Commission's reasoning in support of the 75</w:t>
      </w:r>
      <w:r w:rsidR="00CC0344" w:rsidRPr="00904F0A">
        <w:rPr>
          <w:rFonts w:ascii="Verdana" w:hAnsi="Verdana"/>
          <w:sz w:val="20"/>
          <w:vertAlign w:val="superscript"/>
        </w:rPr>
        <w:t>th</w:t>
      </w:r>
      <w:r w:rsidR="00CC0344" w:rsidRPr="00904F0A">
        <w:rPr>
          <w:rFonts w:ascii="Verdana" w:hAnsi="Verdana"/>
          <w:sz w:val="20"/>
        </w:rPr>
        <w:t xml:space="preserve"> percentile reflects this strong support.</w:t>
      </w:r>
      <w:r w:rsidR="00CC0344">
        <w:rPr>
          <w:rStyle w:val="FootnoteReference"/>
          <w:rFonts w:ascii="Verdana" w:hAnsi="Verdana"/>
          <w:sz w:val="20"/>
        </w:rPr>
        <w:footnoteReference w:id="6"/>
      </w:r>
      <w:bookmarkEnd w:id="16"/>
    </w:p>
    <w:p w14:paraId="1BADFD1A" w14:textId="0584DC1D" w:rsidR="005A5ABC" w:rsidRPr="00840A76" w:rsidRDefault="005A5ABC" w:rsidP="005A5ABC">
      <w:pPr>
        <w:pStyle w:val="Heading1"/>
        <w:spacing w:after="240" w:line="240" w:lineRule="auto"/>
        <w:rPr>
          <w:rFonts w:ascii="Verdana" w:hAnsi="Verdana"/>
          <w:sz w:val="20"/>
          <w:szCs w:val="20"/>
        </w:rPr>
      </w:pPr>
      <w:bookmarkStart w:id="17" w:name="_Toc385943244"/>
      <w:bookmarkStart w:id="18" w:name="_Toc387068641"/>
      <w:r w:rsidRPr="00840A76">
        <w:rPr>
          <w:rFonts w:ascii="Verdana" w:hAnsi="Verdana"/>
          <w:sz w:val="20"/>
          <w:szCs w:val="20"/>
          <w:lang w:val="en-NZ"/>
        </w:rPr>
        <w:t>Allowance</w:t>
      </w:r>
      <w:r w:rsidRPr="00840A76">
        <w:rPr>
          <w:rFonts w:ascii="Verdana" w:hAnsi="Verdana"/>
          <w:sz w:val="20"/>
          <w:szCs w:val="20"/>
        </w:rPr>
        <w:t xml:space="preserve"> for </w:t>
      </w:r>
      <w:r w:rsidRPr="009103F7">
        <w:rPr>
          <w:rFonts w:ascii="Verdana" w:hAnsi="Verdana"/>
          <w:sz w:val="20"/>
          <w:szCs w:val="20"/>
          <w:lang w:val="en-NZ"/>
        </w:rPr>
        <w:t>asymmetric</w:t>
      </w:r>
      <w:r w:rsidRPr="00840A76">
        <w:rPr>
          <w:rFonts w:ascii="Verdana" w:hAnsi="Verdana"/>
          <w:sz w:val="20"/>
          <w:szCs w:val="20"/>
        </w:rPr>
        <w:t xml:space="preserve"> </w:t>
      </w:r>
      <w:r w:rsidR="00A50304">
        <w:rPr>
          <w:rFonts w:ascii="Verdana" w:hAnsi="Verdana"/>
          <w:sz w:val="20"/>
          <w:szCs w:val="20"/>
        </w:rPr>
        <w:t>cost</w:t>
      </w:r>
      <w:r w:rsidR="00A50304" w:rsidRPr="00840A76">
        <w:rPr>
          <w:rFonts w:ascii="Verdana" w:hAnsi="Verdana"/>
          <w:sz w:val="20"/>
          <w:szCs w:val="20"/>
        </w:rPr>
        <w:t xml:space="preserve">s </w:t>
      </w:r>
      <w:r w:rsidRPr="00840A76">
        <w:rPr>
          <w:rFonts w:ascii="Verdana" w:hAnsi="Verdana"/>
          <w:sz w:val="20"/>
          <w:szCs w:val="20"/>
        </w:rPr>
        <w:t>consistent with Part 4 Purpose</w:t>
      </w:r>
      <w:bookmarkEnd w:id="17"/>
      <w:bookmarkEnd w:id="18"/>
    </w:p>
    <w:p w14:paraId="7CD38F41" w14:textId="77777777" w:rsidR="001827DE" w:rsidRDefault="00A014F1" w:rsidP="00560BDB">
      <w:pPr>
        <w:numPr>
          <w:ilvl w:val="0"/>
          <w:numId w:val="1"/>
        </w:numPr>
        <w:spacing w:before="120" w:after="120" w:line="312" w:lineRule="auto"/>
        <w:rPr>
          <w:rFonts w:ascii="Verdana" w:hAnsi="Verdana"/>
          <w:sz w:val="20"/>
        </w:rPr>
      </w:pPr>
      <w:r>
        <w:rPr>
          <w:rFonts w:ascii="Verdana" w:hAnsi="Verdana"/>
          <w:sz w:val="20"/>
        </w:rPr>
        <w:t>As explained above, a WACC estimate above t</w:t>
      </w:r>
      <w:r w:rsidR="002E6AB2">
        <w:rPr>
          <w:rFonts w:ascii="Verdana" w:hAnsi="Verdana"/>
          <w:sz w:val="20"/>
        </w:rPr>
        <w:t>he mid-point increases</w:t>
      </w:r>
      <w:r>
        <w:rPr>
          <w:rFonts w:ascii="Verdana" w:hAnsi="Verdana"/>
          <w:sz w:val="20"/>
        </w:rPr>
        <w:t xml:space="preserve"> the likelihood that the true WACC is at least achieved</w:t>
      </w:r>
      <w:r w:rsidR="002E6AB2">
        <w:rPr>
          <w:rFonts w:ascii="Verdana" w:hAnsi="Verdana"/>
          <w:sz w:val="20"/>
        </w:rPr>
        <w:t xml:space="preserve"> and that, accordingly, there are sufficient incentives for efficient and necessary investment </w:t>
      </w:r>
      <w:r w:rsidR="00D87FE4">
        <w:rPr>
          <w:rFonts w:ascii="Verdana" w:hAnsi="Verdana"/>
          <w:sz w:val="20"/>
        </w:rPr>
        <w:t>to</w:t>
      </w:r>
      <w:r w:rsidR="000F3BA9">
        <w:rPr>
          <w:rFonts w:ascii="Verdana" w:hAnsi="Verdana"/>
          <w:sz w:val="20"/>
        </w:rPr>
        <w:t xml:space="preserve"> </w:t>
      </w:r>
      <w:r w:rsidR="002E6AB2">
        <w:rPr>
          <w:rFonts w:ascii="Verdana" w:hAnsi="Verdana"/>
          <w:sz w:val="20"/>
        </w:rPr>
        <w:t xml:space="preserve">occur.  </w:t>
      </w:r>
      <w:r w:rsidR="00490FCC">
        <w:rPr>
          <w:rFonts w:ascii="Verdana" w:hAnsi="Verdana"/>
          <w:sz w:val="20"/>
        </w:rPr>
        <w:t xml:space="preserve">On the other hand, a lower WACC estimate increases the risk that the true WACC will not be achieved. </w:t>
      </w:r>
      <w:r w:rsidR="002E6AB2">
        <w:rPr>
          <w:rFonts w:ascii="Verdana" w:hAnsi="Verdana"/>
          <w:sz w:val="20"/>
        </w:rPr>
        <w:t xml:space="preserve"> </w:t>
      </w:r>
      <w:r w:rsidR="00D8410B">
        <w:rPr>
          <w:rFonts w:ascii="Verdana" w:hAnsi="Verdana"/>
          <w:sz w:val="20"/>
        </w:rPr>
        <w:t xml:space="preserve">As the Commission set out </w:t>
      </w:r>
      <w:r w:rsidR="00490FCC">
        <w:rPr>
          <w:rFonts w:ascii="Verdana" w:hAnsi="Verdana"/>
          <w:sz w:val="20"/>
        </w:rPr>
        <w:t xml:space="preserve">in its Final </w:t>
      </w:r>
      <w:r w:rsidR="00D87FE4">
        <w:rPr>
          <w:rFonts w:ascii="Verdana" w:hAnsi="Verdana"/>
          <w:sz w:val="20"/>
        </w:rPr>
        <w:t xml:space="preserve">Reasons </w:t>
      </w:r>
      <w:r w:rsidR="00F858AA">
        <w:rPr>
          <w:rFonts w:ascii="Verdana" w:hAnsi="Verdana"/>
          <w:sz w:val="20"/>
        </w:rPr>
        <w:t>P</w:t>
      </w:r>
      <w:r w:rsidR="00D87FE4">
        <w:rPr>
          <w:rFonts w:ascii="Verdana" w:hAnsi="Verdana"/>
          <w:sz w:val="20"/>
        </w:rPr>
        <w:t xml:space="preserve">aper, </w:t>
      </w:r>
      <w:r w:rsidR="003B23D8">
        <w:rPr>
          <w:rFonts w:ascii="Verdana" w:hAnsi="Verdana"/>
          <w:sz w:val="20"/>
        </w:rPr>
        <w:t>"</w:t>
      </w:r>
      <w:r w:rsidR="002E6AB2">
        <w:rPr>
          <w:rFonts w:ascii="Verdana" w:hAnsi="Verdana"/>
          <w:sz w:val="20"/>
        </w:rPr>
        <w:t>i</w:t>
      </w:r>
      <w:r w:rsidR="00490FCC">
        <w:rPr>
          <w:rFonts w:ascii="Verdana" w:hAnsi="Verdana"/>
          <w:sz w:val="20"/>
        </w:rPr>
        <w:t>f</w:t>
      </w:r>
      <w:r w:rsidR="002E6AB2">
        <w:rPr>
          <w:rFonts w:ascii="Verdana" w:hAnsi="Verdana"/>
          <w:sz w:val="20"/>
        </w:rPr>
        <w:t xml:space="preserve"> the </w:t>
      </w:r>
      <w:r w:rsidR="00490FCC">
        <w:rPr>
          <w:rFonts w:ascii="Verdana" w:hAnsi="Verdana"/>
          <w:sz w:val="20"/>
        </w:rPr>
        <w:t>cost of capital is set</w:t>
      </w:r>
      <w:r w:rsidR="00B41055">
        <w:rPr>
          <w:rFonts w:ascii="Verdana" w:hAnsi="Verdana"/>
          <w:sz w:val="20"/>
        </w:rPr>
        <w:t xml:space="preserve"> too low, </w:t>
      </w:r>
      <w:r w:rsidR="002E6AB2" w:rsidRPr="002E6AB2">
        <w:rPr>
          <w:rFonts w:ascii="Verdana" w:hAnsi="Verdana"/>
          <w:sz w:val="20"/>
        </w:rPr>
        <w:t>the incentives for suppliers to undertake efficient investments will be reduced, which would be inconsistent with the long-term benefit of consumers</w:t>
      </w:r>
      <w:r w:rsidR="002E6AB2">
        <w:rPr>
          <w:rFonts w:ascii="Verdana" w:hAnsi="Verdana"/>
          <w:sz w:val="20"/>
        </w:rPr>
        <w:t>"</w:t>
      </w:r>
      <w:r w:rsidR="00A650AD">
        <w:rPr>
          <w:rFonts w:ascii="Verdana" w:hAnsi="Verdana"/>
          <w:sz w:val="20"/>
        </w:rPr>
        <w:t xml:space="preserve"> (see paragraph </w:t>
      </w:r>
      <w:r w:rsidR="005B7783">
        <w:rPr>
          <w:rFonts w:ascii="Verdana" w:hAnsi="Verdana"/>
          <w:sz w:val="20"/>
        </w:rPr>
        <w:fldChar w:fldCharType="begin"/>
      </w:r>
      <w:r w:rsidR="00A650AD">
        <w:rPr>
          <w:rFonts w:ascii="Verdana" w:hAnsi="Verdana"/>
          <w:sz w:val="20"/>
        </w:rPr>
        <w:instrText xml:space="preserve"> REF _Ref386471963 \r \h </w:instrText>
      </w:r>
      <w:r w:rsidR="005B7783">
        <w:rPr>
          <w:rFonts w:ascii="Verdana" w:hAnsi="Verdana"/>
          <w:sz w:val="20"/>
        </w:rPr>
      </w:r>
      <w:r w:rsidR="005B7783">
        <w:rPr>
          <w:rFonts w:ascii="Verdana" w:hAnsi="Verdana"/>
          <w:sz w:val="20"/>
        </w:rPr>
        <w:fldChar w:fldCharType="separate"/>
      </w:r>
      <w:r w:rsidR="00F814A6">
        <w:rPr>
          <w:rFonts w:ascii="Verdana" w:hAnsi="Verdana"/>
          <w:sz w:val="20"/>
        </w:rPr>
        <w:t>21</w:t>
      </w:r>
      <w:r w:rsidR="005B7783">
        <w:rPr>
          <w:rFonts w:ascii="Verdana" w:hAnsi="Verdana"/>
          <w:sz w:val="20"/>
        </w:rPr>
        <w:fldChar w:fldCharType="end"/>
      </w:r>
      <w:r w:rsidR="00A650AD">
        <w:rPr>
          <w:rFonts w:ascii="Verdana" w:hAnsi="Verdana"/>
          <w:sz w:val="20"/>
        </w:rPr>
        <w:t xml:space="preserve"> above).</w:t>
      </w:r>
      <w:r w:rsidR="00A650AD" w:rsidRPr="00560BDB">
        <w:rPr>
          <w:rFonts w:ascii="Verdana" w:hAnsi="Verdana"/>
          <w:sz w:val="20"/>
        </w:rPr>
        <w:t xml:space="preserve"> </w:t>
      </w:r>
      <w:r w:rsidR="00A650AD">
        <w:rPr>
          <w:rFonts w:ascii="Verdana" w:hAnsi="Verdana"/>
          <w:sz w:val="20"/>
        </w:rPr>
        <w:t xml:space="preserve"> </w:t>
      </w:r>
      <w:r w:rsidR="00001E17">
        <w:rPr>
          <w:rFonts w:ascii="Verdana" w:hAnsi="Verdana"/>
          <w:sz w:val="20"/>
        </w:rPr>
        <w:t xml:space="preserve"> </w:t>
      </w:r>
      <w:r w:rsidR="00D8410B">
        <w:rPr>
          <w:rFonts w:ascii="Verdana" w:hAnsi="Verdana"/>
          <w:sz w:val="20"/>
        </w:rPr>
        <w:t xml:space="preserve"> </w:t>
      </w:r>
    </w:p>
    <w:p w14:paraId="5B2BB563" w14:textId="08365798" w:rsidR="00560BDB" w:rsidRPr="00546022" w:rsidRDefault="00D05C5F" w:rsidP="00560BDB">
      <w:pPr>
        <w:numPr>
          <w:ilvl w:val="0"/>
          <w:numId w:val="1"/>
        </w:numPr>
        <w:spacing w:before="120" w:after="120" w:line="312" w:lineRule="auto"/>
        <w:rPr>
          <w:rFonts w:ascii="Verdana" w:hAnsi="Verdana"/>
          <w:sz w:val="20"/>
        </w:rPr>
      </w:pPr>
      <w:r w:rsidRPr="00546022">
        <w:rPr>
          <w:rFonts w:ascii="Verdana" w:hAnsi="Verdana"/>
          <w:sz w:val="20"/>
        </w:rPr>
        <w:t xml:space="preserve">As also </w:t>
      </w:r>
      <w:r w:rsidR="00EA50C2" w:rsidRPr="00546022">
        <w:rPr>
          <w:rFonts w:ascii="Verdana" w:hAnsi="Verdana"/>
          <w:sz w:val="20"/>
        </w:rPr>
        <w:t>noted above there is a general consensus</w:t>
      </w:r>
      <w:r w:rsidR="00A50304">
        <w:rPr>
          <w:rFonts w:ascii="Verdana" w:hAnsi="Verdana"/>
          <w:sz w:val="20"/>
        </w:rPr>
        <w:t xml:space="preserve"> at a conceptual level</w:t>
      </w:r>
      <w:r w:rsidR="00EA50C2" w:rsidRPr="00546022">
        <w:rPr>
          <w:rFonts w:ascii="Verdana" w:hAnsi="Verdana"/>
          <w:sz w:val="20"/>
        </w:rPr>
        <w:t xml:space="preserve"> that the </w:t>
      </w:r>
      <w:r w:rsidR="00A50304">
        <w:rPr>
          <w:rFonts w:ascii="Verdana" w:hAnsi="Verdana"/>
          <w:sz w:val="20"/>
        </w:rPr>
        <w:t>costs</w:t>
      </w:r>
      <w:r w:rsidR="00A50304" w:rsidRPr="00546022">
        <w:rPr>
          <w:rFonts w:ascii="Verdana" w:hAnsi="Verdana"/>
          <w:sz w:val="20"/>
        </w:rPr>
        <w:t xml:space="preserve"> </w:t>
      </w:r>
      <w:r w:rsidR="00EA50C2" w:rsidRPr="00546022">
        <w:rPr>
          <w:rFonts w:ascii="Verdana" w:hAnsi="Verdana"/>
          <w:sz w:val="20"/>
        </w:rPr>
        <w:t>of regulatory error in setting the regulatory WACC are asymmetric, such that consumer welfare will be maximised by setting the regulatory WACC above the midpoint estimate</w:t>
      </w:r>
      <w:r w:rsidR="00412E91" w:rsidRPr="00546022">
        <w:rPr>
          <w:rFonts w:ascii="Verdana" w:hAnsi="Verdana"/>
          <w:sz w:val="20"/>
        </w:rPr>
        <w:t xml:space="preserve">.  </w:t>
      </w:r>
      <w:r w:rsidR="00186F0A">
        <w:rPr>
          <w:rFonts w:ascii="Verdana" w:hAnsi="Verdana"/>
          <w:sz w:val="20"/>
        </w:rPr>
        <w:t xml:space="preserve">Accordingly, in the context of the Part 4 regime, </w:t>
      </w:r>
      <w:r w:rsidR="009F4F6E" w:rsidRPr="00546022">
        <w:rPr>
          <w:rFonts w:ascii="Verdana" w:hAnsi="Verdana"/>
          <w:sz w:val="20"/>
        </w:rPr>
        <w:t>setting</w:t>
      </w:r>
      <w:r w:rsidR="00A650AD" w:rsidRPr="00546022">
        <w:rPr>
          <w:rFonts w:ascii="Verdana" w:hAnsi="Verdana"/>
          <w:sz w:val="20"/>
        </w:rPr>
        <w:t xml:space="preserve"> </w:t>
      </w:r>
      <w:r w:rsidR="00560BDB" w:rsidRPr="00546022">
        <w:rPr>
          <w:rFonts w:ascii="Verdana" w:hAnsi="Verdana"/>
          <w:sz w:val="20"/>
        </w:rPr>
        <w:t xml:space="preserve">the regulatory WACC above the midpoint estimate </w:t>
      </w:r>
      <w:r w:rsidR="007F334A">
        <w:rPr>
          <w:rFonts w:ascii="Verdana" w:hAnsi="Verdana"/>
          <w:sz w:val="20"/>
        </w:rPr>
        <w:t>(</w:t>
      </w:r>
      <w:r w:rsidR="00560BDB" w:rsidRPr="00546022">
        <w:rPr>
          <w:rFonts w:ascii="Verdana" w:hAnsi="Verdana"/>
          <w:sz w:val="20"/>
        </w:rPr>
        <w:t xml:space="preserve">in order to </w:t>
      </w:r>
      <w:r w:rsidR="00546022" w:rsidRPr="00546022">
        <w:rPr>
          <w:rFonts w:ascii="Verdana" w:hAnsi="Verdana"/>
          <w:sz w:val="20"/>
        </w:rPr>
        <w:t>mitigate against</w:t>
      </w:r>
      <w:r w:rsidR="00B07A45" w:rsidRPr="00546022">
        <w:rPr>
          <w:rFonts w:ascii="Verdana" w:hAnsi="Verdana"/>
          <w:sz w:val="20"/>
        </w:rPr>
        <w:t xml:space="preserve"> the risk </w:t>
      </w:r>
      <w:r w:rsidR="00B07A45" w:rsidRPr="00546022">
        <w:rPr>
          <w:rFonts w:ascii="Verdana" w:hAnsi="Verdana"/>
          <w:sz w:val="20"/>
        </w:rPr>
        <w:lastRenderedPageBreak/>
        <w:t>that</w:t>
      </w:r>
      <w:r w:rsidR="00546022" w:rsidRPr="00546022">
        <w:rPr>
          <w:rFonts w:ascii="Verdana" w:hAnsi="Verdana"/>
          <w:sz w:val="20"/>
        </w:rPr>
        <w:t xml:space="preserve"> </w:t>
      </w:r>
      <w:r w:rsidR="00B07A45" w:rsidRPr="00546022">
        <w:rPr>
          <w:rFonts w:ascii="Verdana" w:hAnsi="Verdana"/>
          <w:sz w:val="20"/>
        </w:rPr>
        <w:t>the</w:t>
      </w:r>
      <w:r w:rsidR="009F4F6E" w:rsidRPr="00546022">
        <w:rPr>
          <w:rFonts w:ascii="Verdana" w:hAnsi="Verdana"/>
          <w:sz w:val="20"/>
        </w:rPr>
        <w:t xml:space="preserve"> true WACC is not achieved</w:t>
      </w:r>
      <w:r w:rsidR="007F334A">
        <w:rPr>
          <w:rFonts w:ascii="Verdana" w:hAnsi="Verdana"/>
          <w:sz w:val="20"/>
        </w:rPr>
        <w:t>)</w:t>
      </w:r>
      <w:r w:rsidR="00B07A45" w:rsidRPr="00546022">
        <w:rPr>
          <w:rFonts w:ascii="Verdana" w:hAnsi="Verdana"/>
          <w:sz w:val="20"/>
        </w:rPr>
        <w:t xml:space="preserve"> </w:t>
      </w:r>
      <w:r w:rsidR="00186F0A">
        <w:rPr>
          <w:rFonts w:ascii="Verdana" w:hAnsi="Verdana"/>
          <w:sz w:val="20"/>
        </w:rPr>
        <w:t xml:space="preserve">is necessary in order to promote </w:t>
      </w:r>
      <w:r w:rsidR="00560BDB" w:rsidRPr="00546022">
        <w:rPr>
          <w:rFonts w:ascii="Verdana" w:hAnsi="Verdana"/>
          <w:sz w:val="20"/>
        </w:rPr>
        <w:t xml:space="preserve">the Part 4 purpose. </w:t>
      </w:r>
      <w:r w:rsidR="00B07A45" w:rsidRPr="00546022">
        <w:rPr>
          <w:rFonts w:ascii="Verdana" w:hAnsi="Verdana"/>
          <w:sz w:val="20"/>
        </w:rPr>
        <w:t xml:space="preserve"> </w:t>
      </w:r>
    </w:p>
    <w:p w14:paraId="36DA6BB6" w14:textId="3345F3C5" w:rsidR="004A676C" w:rsidRPr="00B77F48" w:rsidRDefault="00A50304" w:rsidP="00683A55">
      <w:pPr>
        <w:numPr>
          <w:ilvl w:val="0"/>
          <w:numId w:val="1"/>
        </w:numPr>
        <w:spacing w:before="120" w:after="120" w:line="312" w:lineRule="auto"/>
        <w:rPr>
          <w:rFonts w:ascii="Verdana" w:hAnsi="Verdana"/>
          <w:sz w:val="20"/>
        </w:rPr>
      </w:pPr>
      <w:r>
        <w:rPr>
          <w:rFonts w:ascii="Verdana" w:hAnsi="Verdana"/>
          <w:sz w:val="20"/>
        </w:rPr>
        <w:t>T</w:t>
      </w:r>
      <w:r w:rsidR="00342E93">
        <w:rPr>
          <w:rFonts w:ascii="Verdana" w:hAnsi="Verdana"/>
          <w:sz w:val="20"/>
        </w:rPr>
        <w:t>he</w:t>
      </w:r>
      <w:r w:rsidR="004A676C" w:rsidRPr="00B77F48">
        <w:rPr>
          <w:rFonts w:ascii="Verdana" w:hAnsi="Verdana"/>
          <w:sz w:val="20"/>
        </w:rPr>
        <w:t xml:space="preserve"> new Part 4 sought to </w:t>
      </w:r>
      <w:r w:rsidR="00A60864" w:rsidRPr="00B77F48">
        <w:rPr>
          <w:rFonts w:ascii="Verdana" w:hAnsi="Verdana"/>
          <w:sz w:val="20"/>
        </w:rPr>
        <w:t>ensure the Commission p</w:t>
      </w:r>
      <w:r w:rsidR="004A676C" w:rsidRPr="00B77F48">
        <w:rPr>
          <w:rFonts w:ascii="Verdana" w:hAnsi="Verdana"/>
          <w:sz w:val="20"/>
        </w:rPr>
        <w:t>lac</w:t>
      </w:r>
      <w:r w:rsidR="00342E93">
        <w:rPr>
          <w:rFonts w:ascii="Verdana" w:hAnsi="Verdana"/>
          <w:sz w:val="20"/>
        </w:rPr>
        <w:t>ed</w:t>
      </w:r>
      <w:r w:rsidR="004A676C" w:rsidRPr="00B77F48">
        <w:rPr>
          <w:rFonts w:ascii="Verdana" w:hAnsi="Verdana"/>
          <w:sz w:val="20"/>
        </w:rPr>
        <w:t xml:space="preserve"> increased and express focus on incentives to invest.</w:t>
      </w:r>
      <w:r w:rsidR="007330E8">
        <w:rPr>
          <w:rStyle w:val="FootnoteReference"/>
          <w:rFonts w:ascii="Verdana" w:hAnsi="Verdana"/>
          <w:sz w:val="20"/>
        </w:rPr>
        <w:footnoteReference w:id="7"/>
      </w:r>
      <w:r w:rsidR="004A676C" w:rsidRPr="00B77F48">
        <w:rPr>
          <w:rFonts w:ascii="Verdana" w:hAnsi="Verdana"/>
          <w:sz w:val="20"/>
        </w:rPr>
        <w:t xml:space="preserve">  </w:t>
      </w:r>
      <w:r w:rsidR="00B77F48">
        <w:rPr>
          <w:rFonts w:ascii="Verdana" w:hAnsi="Verdana"/>
          <w:sz w:val="20"/>
        </w:rPr>
        <w:t xml:space="preserve"> This is reflected in the wording of </w:t>
      </w:r>
      <w:r w:rsidR="004A676C" w:rsidRPr="00B77F48">
        <w:rPr>
          <w:rFonts w:ascii="Verdana" w:hAnsi="Verdana"/>
          <w:sz w:val="20"/>
        </w:rPr>
        <w:t>section 52A(1)</w:t>
      </w:r>
      <w:r w:rsidR="00E860D3">
        <w:rPr>
          <w:rFonts w:ascii="Verdana" w:hAnsi="Verdana"/>
          <w:sz w:val="20"/>
        </w:rPr>
        <w:t>,</w:t>
      </w:r>
      <w:r w:rsidR="00B77F48">
        <w:rPr>
          <w:rFonts w:ascii="Verdana" w:hAnsi="Verdana"/>
          <w:sz w:val="20"/>
        </w:rPr>
        <w:t xml:space="preserve"> where</w:t>
      </w:r>
      <w:r w:rsidR="004A676C" w:rsidRPr="00B77F48">
        <w:rPr>
          <w:rFonts w:ascii="Verdana" w:hAnsi="Verdana"/>
          <w:sz w:val="20"/>
        </w:rPr>
        <w:t>:</w:t>
      </w:r>
    </w:p>
    <w:p w14:paraId="7462E94D" w14:textId="77777777" w:rsidR="004A676C" w:rsidRPr="00B77F48" w:rsidRDefault="004A676C" w:rsidP="00683A55">
      <w:pPr>
        <w:numPr>
          <w:ilvl w:val="1"/>
          <w:numId w:val="1"/>
        </w:numPr>
        <w:tabs>
          <w:tab w:val="clear" w:pos="328"/>
          <w:tab w:val="num" w:pos="1134"/>
        </w:tabs>
        <w:spacing w:before="120" w:after="120" w:line="312" w:lineRule="auto"/>
        <w:ind w:left="1134" w:hanging="425"/>
        <w:rPr>
          <w:rFonts w:ascii="Verdana" w:hAnsi="Verdana"/>
          <w:sz w:val="20"/>
        </w:rPr>
      </w:pPr>
      <w:r w:rsidRPr="00B77F48">
        <w:rPr>
          <w:rFonts w:ascii="Verdana" w:hAnsi="Verdana"/>
          <w:sz w:val="20"/>
        </w:rPr>
        <w:t>The ultimate aim of Part 4 is to "promote the long-term benefit of consumers" in the relevant markets</w:t>
      </w:r>
      <w:r w:rsidR="00B23163" w:rsidRPr="00B23163">
        <w:rPr>
          <w:rFonts w:ascii="Verdana" w:hAnsi="Verdana"/>
          <w:sz w:val="20"/>
        </w:rPr>
        <w:t>.</w:t>
      </w:r>
    </w:p>
    <w:p w14:paraId="119D140E" w14:textId="77777777" w:rsidR="004A676C" w:rsidRPr="00B77F48" w:rsidRDefault="00B77F48" w:rsidP="00683A55">
      <w:pPr>
        <w:numPr>
          <w:ilvl w:val="1"/>
          <w:numId w:val="1"/>
        </w:numPr>
        <w:tabs>
          <w:tab w:val="clear" w:pos="328"/>
          <w:tab w:val="num" w:pos="1134"/>
        </w:tabs>
        <w:spacing w:before="120" w:after="120" w:line="312" w:lineRule="auto"/>
        <w:ind w:left="1134" w:hanging="425"/>
        <w:rPr>
          <w:rFonts w:ascii="Verdana" w:hAnsi="Verdana"/>
          <w:sz w:val="20"/>
        </w:rPr>
      </w:pPr>
      <w:r>
        <w:rPr>
          <w:rFonts w:ascii="Verdana" w:hAnsi="Verdana"/>
          <w:sz w:val="20"/>
        </w:rPr>
        <w:t xml:space="preserve">The </w:t>
      </w:r>
      <w:r w:rsidR="004A676C" w:rsidRPr="00B77F48">
        <w:rPr>
          <w:rFonts w:ascii="Verdana" w:hAnsi="Verdana"/>
          <w:sz w:val="20"/>
        </w:rPr>
        <w:t>means for achieving this goal is "by prom</w:t>
      </w:r>
      <w:r w:rsidR="004A676C" w:rsidRPr="00B77F48">
        <w:rPr>
          <w:rFonts w:ascii="Verdana" w:hAnsi="Verdana"/>
          <w:sz w:val="20"/>
          <w:szCs w:val="16"/>
        </w:rPr>
        <w:t>oting outcomes that are consistent with outc</w:t>
      </w:r>
      <w:r w:rsidR="004A676C" w:rsidRPr="00B77F48">
        <w:rPr>
          <w:rFonts w:ascii="Verdana" w:hAnsi="Verdana"/>
          <w:sz w:val="20"/>
        </w:rPr>
        <w:t>omes produced in [workably] competitive markets" such that</w:t>
      </w:r>
      <w:r w:rsidR="00B23163" w:rsidRPr="00B23163">
        <w:rPr>
          <w:rFonts w:ascii="Verdana" w:hAnsi="Verdana"/>
          <w:sz w:val="20"/>
        </w:rPr>
        <w:t xml:space="preserve"> (a) to (d) are met.</w:t>
      </w:r>
      <w:r w:rsidR="00E860D3" w:rsidRPr="00B23163">
        <w:rPr>
          <w:rFonts w:ascii="Verdana" w:hAnsi="Verdana"/>
          <w:sz w:val="20"/>
          <w:vertAlign w:val="superscript"/>
        </w:rPr>
        <w:footnoteReference w:id="8"/>
      </w:r>
    </w:p>
    <w:p w14:paraId="521711E9" w14:textId="77777777" w:rsidR="004A676C" w:rsidRPr="00D534DA" w:rsidRDefault="00B23163" w:rsidP="00683A55">
      <w:pPr>
        <w:numPr>
          <w:ilvl w:val="1"/>
          <w:numId w:val="1"/>
        </w:numPr>
        <w:tabs>
          <w:tab w:val="clear" w:pos="328"/>
          <w:tab w:val="num" w:pos="1134"/>
        </w:tabs>
        <w:spacing w:before="120" w:after="120" w:line="312" w:lineRule="auto"/>
        <w:ind w:left="1134" w:hanging="425"/>
        <w:rPr>
          <w:rFonts w:ascii="Verdana" w:hAnsi="Verdana"/>
          <w:sz w:val="20"/>
        </w:rPr>
      </w:pPr>
      <w:r w:rsidRPr="00B23163">
        <w:rPr>
          <w:rFonts w:ascii="Verdana" w:hAnsi="Verdana"/>
          <w:sz w:val="20"/>
        </w:rPr>
        <w:t>To the extent that a balance needs t</w:t>
      </w:r>
      <w:r w:rsidR="004A676C" w:rsidRPr="00D534DA">
        <w:rPr>
          <w:rFonts w:ascii="Verdana" w:hAnsi="Verdana"/>
          <w:sz w:val="20"/>
        </w:rPr>
        <w:t xml:space="preserve">o </w:t>
      </w:r>
      <w:r w:rsidR="004A676C" w:rsidRPr="00B77F48">
        <w:rPr>
          <w:rFonts w:ascii="Verdana" w:hAnsi="Verdana"/>
          <w:sz w:val="20"/>
        </w:rPr>
        <w:t>be</w:t>
      </w:r>
      <w:r w:rsidR="004A676C" w:rsidRPr="00D534DA">
        <w:rPr>
          <w:rFonts w:ascii="Verdana" w:hAnsi="Verdana"/>
          <w:sz w:val="20"/>
        </w:rPr>
        <w:t xml:space="preserve"> struck between (a) to (d), the long-term benefit of consumers is the arbitrating principle as this is the ultimate aim of Part 4.</w:t>
      </w:r>
      <w:r w:rsidR="004A676C">
        <w:rPr>
          <w:rFonts w:ascii="Verdana" w:hAnsi="Verdana"/>
          <w:sz w:val="20"/>
        </w:rPr>
        <w:t xml:space="preserve">  </w:t>
      </w:r>
    </w:p>
    <w:p w14:paraId="5A16F3A8" w14:textId="77777777" w:rsidR="004A676C" w:rsidRPr="00D534DA" w:rsidRDefault="004A676C" w:rsidP="00683A55">
      <w:pPr>
        <w:numPr>
          <w:ilvl w:val="0"/>
          <w:numId w:val="1"/>
        </w:numPr>
        <w:spacing w:before="120" w:after="120" w:line="312" w:lineRule="auto"/>
        <w:rPr>
          <w:rFonts w:ascii="Verdana" w:hAnsi="Verdana"/>
          <w:sz w:val="20"/>
        </w:rPr>
      </w:pPr>
      <w:r w:rsidRPr="00D534DA">
        <w:rPr>
          <w:rFonts w:ascii="Verdana" w:hAnsi="Verdana"/>
          <w:sz w:val="20"/>
        </w:rPr>
        <w:t xml:space="preserve">In economic terms, the long-term benefit of consumers will be achieved if the economic welfare of consumers (consumer surplus), over the long-term, is maximised.  </w:t>
      </w:r>
      <w:r w:rsidR="0072006A">
        <w:rPr>
          <w:rFonts w:ascii="Verdana" w:hAnsi="Verdana"/>
          <w:sz w:val="20"/>
        </w:rPr>
        <w:t>I</w:t>
      </w:r>
      <w:r w:rsidRPr="00D534DA">
        <w:rPr>
          <w:rFonts w:ascii="Verdana" w:hAnsi="Verdana"/>
          <w:sz w:val="20"/>
        </w:rPr>
        <w:t xml:space="preserve">nvestment </w:t>
      </w:r>
      <w:r w:rsidR="0072006A">
        <w:rPr>
          <w:rFonts w:ascii="Verdana" w:hAnsi="Verdana"/>
          <w:sz w:val="20"/>
        </w:rPr>
        <w:t xml:space="preserve">is a </w:t>
      </w:r>
      <w:r w:rsidRPr="00D534DA">
        <w:rPr>
          <w:rFonts w:ascii="Verdana" w:hAnsi="Verdana"/>
          <w:sz w:val="20"/>
        </w:rPr>
        <w:t>very important contributor to this consumer welfare in the long-term. This economic proposition is not disputed by the Commission (at the level of principle), having stated that:</w:t>
      </w:r>
      <w:r w:rsidRPr="00D534DA">
        <w:rPr>
          <w:rStyle w:val="FootnoteReference"/>
          <w:rFonts w:ascii="Verdana" w:hAnsi="Verdana"/>
          <w:sz w:val="20"/>
        </w:rPr>
        <w:footnoteReference w:id="9"/>
      </w:r>
    </w:p>
    <w:p w14:paraId="3D8E4FF8" w14:textId="77777777" w:rsidR="007330E8" w:rsidRPr="00840A76" w:rsidRDefault="005B7783" w:rsidP="00EA50C2">
      <w:pPr>
        <w:pStyle w:val="Quote"/>
        <w:spacing w:before="120" w:after="120"/>
        <w:rPr>
          <w:rFonts w:ascii="Verdana" w:hAnsi="Verdana"/>
          <w:szCs w:val="18"/>
        </w:rPr>
      </w:pPr>
      <w:r w:rsidRPr="00B471F5">
        <w:rPr>
          <w:rFonts w:ascii="Verdana" w:hAnsi="Verdana"/>
          <w:szCs w:val="18"/>
        </w:rPr>
        <w:t xml:space="preserve">… </w:t>
      </w:r>
      <w:proofErr w:type="gramStart"/>
      <w:r w:rsidRPr="00B471F5">
        <w:rPr>
          <w:rFonts w:ascii="Verdana" w:hAnsi="Verdana"/>
          <w:szCs w:val="18"/>
        </w:rPr>
        <w:t>innovation</w:t>
      </w:r>
      <w:proofErr w:type="gramEnd"/>
      <w:r w:rsidRPr="00B471F5">
        <w:rPr>
          <w:rFonts w:ascii="Verdana" w:hAnsi="Verdana"/>
          <w:szCs w:val="18"/>
        </w:rPr>
        <w:t xml:space="preserve"> and efficient investment over time can deliver significant long-term benefits to end-users, and the adverse consequences of deterring or delaying such investments may be substantial.</w:t>
      </w:r>
    </w:p>
    <w:p w14:paraId="179EB211" w14:textId="1DA5A4E9" w:rsidR="00560BDB" w:rsidRDefault="007F334A" w:rsidP="00683A55">
      <w:pPr>
        <w:numPr>
          <w:ilvl w:val="0"/>
          <w:numId w:val="1"/>
        </w:numPr>
        <w:spacing w:before="120" w:after="120" w:line="312" w:lineRule="auto"/>
        <w:rPr>
          <w:rFonts w:ascii="Verdana" w:hAnsi="Verdana"/>
          <w:sz w:val="20"/>
        </w:rPr>
      </w:pPr>
      <w:r w:rsidRPr="00A74873">
        <w:rPr>
          <w:rFonts w:ascii="Verdana" w:hAnsi="Verdana"/>
          <w:sz w:val="20"/>
        </w:rPr>
        <w:t xml:space="preserve">Where there is a </w:t>
      </w:r>
      <w:r w:rsidR="00A50304" w:rsidRPr="00A74873">
        <w:rPr>
          <w:rFonts w:ascii="Verdana" w:hAnsi="Verdana"/>
          <w:sz w:val="20"/>
        </w:rPr>
        <w:t>trade</w:t>
      </w:r>
      <w:r w:rsidR="00A50304">
        <w:rPr>
          <w:rFonts w:ascii="Verdana" w:hAnsi="Verdana"/>
          <w:sz w:val="20"/>
        </w:rPr>
        <w:t>-</w:t>
      </w:r>
      <w:r w:rsidRPr="00A74873">
        <w:rPr>
          <w:rFonts w:ascii="Verdana" w:hAnsi="Verdana"/>
          <w:sz w:val="20"/>
        </w:rPr>
        <w:t>off between incentives to invest and higher short</w:t>
      </w:r>
      <w:r w:rsidR="007B01E1">
        <w:rPr>
          <w:rFonts w:ascii="Verdana" w:hAnsi="Verdana"/>
          <w:sz w:val="20"/>
        </w:rPr>
        <w:t>-</w:t>
      </w:r>
      <w:r w:rsidRPr="00A74873">
        <w:rPr>
          <w:rFonts w:ascii="Verdana" w:hAnsi="Verdana"/>
          <w:sz w:val="20"/>
        </w:rPr>
        <w:t>term price</w:t>
      </w:r>
      <w:r w:rsidR="007B01E1">
        <w:rPr>
          <w:rFonts w:ascii="Verdana" w:hAnsi="Verdana"/>
          <w:sz w:val="20"/>
        </w:rPr>
        <w:t>s</w:t>
      </w:r>
      <w:r w:rsidRPr="00A74873">
        <w:rPr>
          <w:rFonts w:ascii="Verdana" w:hAnsi="Verdana"/>
          <w:sz w:val="20"/>
        </w:rPr>
        <w:t>, the Commission's position is that it will always favour the former on the basis that this best promotes the long-term benefit of consumers (consistent with the Part 4 purpose).</w:t>
      </w:r>
      <w:r w:rsidR="0036312D">
        <w:rPr>
          <w:rStyle w:val="FootnoteReference"/>
          <w:rFonts w:ascii="Verdana" w:hAnsi="Verdana"/>
          <w:sz w:val="20"/>
        </w:rPr>
        <w:footnoteReference w:id="10"/>
      </w:r>
      <w:r w:rsidRPr="00A74873">
        <w:rPr>
          <w:rFonts w:ascii="Verdana" w:hAnsi="Verdana"/>
          <w:sz w:val="20"/>
        </w:rPr>
        <w:t xml:space="preserve">  </w:t>
      </w:r>
    </w:p>
    <w:p w14:paraId="3E21E8E7" w14:textId="76B43809" w:rsidR="004A676C" w:rsidRDefault="004A676C" w:rsidP="00683A55">
      <w:pPr>
        <w:numPr>
          <w:ilvl w:val="0"/>
          <w:numId w:val="1"/>
        </w:numPr>
        <w:spacing w:before="120" w:after="120" w:line="312" w:lineRule="auto"/>
        <w:rPr>
          <w:rFonts w:ascii="Verdana" w:hAnsi="Verdana"/>
          <w:sz w:val="20"/>
        </w:rPr>
      </w:pPr>
      <w:r w:rsidRPr="004D22E3">
        <w:rPr>
          <w:rFonts w:ascii="Verdana" w:hAnsi="Verdana"/>
          <w:sz w:val="20"/>
        </w:rPr>
        <w:t xml:space="preserve">In </w:t>
      </w:r>
      <w:r w:rsidR="0036312D">
        <w:rPr>
          <w:rFonts w:ascii="Verdana" w:hAnsi="Verdana"/>
          <w:sz w:val="20"/>
        </w:rPr>
        <w:t xml:space="preserve">summary, in </w:t>
      </w:r>
      <w:r w:rsidRPr="004D22E3">
        <w:rPr>
          <w:rFonts w:ascii="Verdana" w:hAnsi="Verdana"/>
          <w:sz w:val="20"/>
        </w:rPr>
        <w:t xml:space="preserve">Vector's submission, setting the regulatory WACC above the midpoint estimate is consistent with the Part 4 purpose, </w:t>
      </w:r>
      <w:r w:rsidR="008C4FC9">
        <w:rPr>
          <w:rFonts w:ascii="Verdana" w:hAnsi="Verdana"/>
          <w:sz w:val="20"/>
        </w:rPr>
        <w:t>and therefore an input methodology that does this is materially better at achieving the purpose than one that provides for a mid-point WACC.  T</w:t>
      </w:r>
      <w:r w:rsidRPr="004D22E3">
        <w:rPr>
          <w:rFonts w:ascii="Verdana" w:hAnsi="Verdana"/>
          <w:sz w:val="20"/>
        </w:rPr>
        <w:t xml:space="preserve">he </w:t>
      </w:r>
      <w:r>
        <w:rPr>
          <w:rFonts w:ascii="Verdana" w:hAnsi="Verdana"/>
          <w:sz w:val="20"/>
        </w:rPr>
        <w:t>amount of the required</w:t>
      </w:r>
      <w:r w:rsidRPr="004D22E3">
        <w:rPr>
          <w:rFonts w:ascii="Verdana" w:hAnsi="Verdana"/>
          <w:sz w:val="20"/>
        </w:rPr>
        <w:t xml:space="preserve"> increment </w:t>
      </w:r>
      <w:r w:rsidR="008C4FC9">
        <w:rPr>
          <w:rFonts w:ascii="Verdana" w:hAnsi="Verdana"/>
          <w:sz w:val="20"/>
        </w:rPr>
        <w:t xml:space="preserve">is </w:t>
      </w:r>
      <w:r w:rsidRPr="004D22E3">
        <w:rPr>
          <w:rFonts w:ascii="Verdana" w:hAnsi="Verdana"/>
          <w:sz w:val="20"/>
        </w:rPr>
        <w:t>a matter of quantitative assessment</w:t>
      </w:r>
      <w:r w:rsidR="00D73F14">
        <w:rPr>
          <w:rFonts w:ascii="Verdana" w:hAnsi="Verdana"/>
          <w:sz w:val="20"/>
        </w:rPr>
        <w:t xml:space="preserve"> to the extent such an assessment is </w:t>
      </w:r>
      <w:r w:rsidR="00C519E4">
        <w:rPr>
          <w:rFonts w:ascii="Verdana" w:hAnsi="Verdana"/>
          <w:sz w:val="20"/>
        </w:rPr>
        <w:t>possible,</w:t>
      </w:r>
      <w:r w:rsidR="00046B3F">
        <w:rPr>
          <w:rFonts w:ascii="Verdana" w:hAnsi="Verdana"/>
          <w:sz w:val="20"/>
        </w:rPr>
        <w:t xml:space="preserve"> bearing in mind that estimating WACC</w:t>
      </w:r>
      <w:r w:rsidR="00A50304">
        <w:rPr>
          <w:rFonts w:ascii="Verdana" w:hAnsi="Verdana"/>
          <w:sz w:val="20"/>
        </w:rPr>
        <w:t xml:space="preserve"> ultimately</w:t>
      </w:r>
      <w:r w:rsidR="00046B3F">
        <w:rPr>
          <w:rFonts w:ascii="Verdana" w:hAnsi="Verdana"/>
          <w:sz w:val="20"/>
        </w:rPr>
        <w:t xml:space="preserve"> remains an imprecise exercise</w:t>
      </w:r>
      <w:r w:rsidRPr="004D22E3">
        <w:rPr>
          <w:rFonts w:ascii="Verdana" w:hAnsi="Verdana"/>
          <w:sz w:val="20"/>
        </w:rPr>
        <w:t>.</w:t>
      </w:r>
    </w:p>
    <w:p w14:paraId="35F0BEA2" w14:textId="77777777" w:rsidR="004A676C" w:rsidRPr="00C113BF" w:rsidRDefault="004A676C" w:rsidP="00A74873">
      <w:pPr>
        <w:pStyle w:val="Heading1"/>
        <w:spacing w:after="240" w:line="240" w:lineRule="auto"/>
        <w:rPr>
          <w:rFonts w:ascii="Verdana" w:hAnsi="Verdana"/>
          <w:b w:val="0"/>
          <w:i/>
          <w:sz w:val="20"/>
          <w:szCs w:val="20"/>
        </w:rPr>
      </w:pPr>
      <w:bookmarkStart w:id="19" w:name="_Toc385943248"/>
      <w:bookmarkStart w:id="20" w:name="_Toc387068642"/>
      <w:r w:rsidRPr="004D22E3">
        <w:rPr>
          <w:rFonts w:ascii="Verdana" w:hAnsi="Verdana"/>
          <w:b w:val="0"/>
          <w:i/>
          <w:sz w:val="20"/>
          <w:szCs w:val="20"/>
        </w:rPr>
        <w:t>Merits review judgment</w:t>
      </w:r>
      <w:bookmarkEnd w:id="19"/>
      <w:bookmarkEnd w:id="20"/>
    </w:p>
    <w:p w14:paraId="6FCE2916" w14:textId="6E12BAA5" w:rsidR="004A676C" w:rsidRPr="00BD0692" w:rsidRDefault="004A676C" w:rsidP="00BD0692">
      <w:pPr>
        <w:numPr>
          <w:ilvl w:val="0"/>
          <w:numId w:val="1"/>
        </w:numPr>
        <w:spacing w:before="120" w:after="120" w:line="312" w:lineRule="auto"/>
        <w:rPr>
          <w:rFonts w:ascii="Verdana" w:hAnsi="Verdana"/>
          <w:sz w:val="20"/>
        </w:rPr>
      </w:pPr>
      <w:r w:rsidRPr="004D22E3">
        <w:rPr>
          <w:rFonts w:ascii="Verdana" w:hAnsi="Verdana"/>
          <w:sz w:val="20"/>
        </w:rPr>
        <w:t xml:space="preserve">The above analysis is </w:t>
      </w:r>
      <w:r>
        <w:rPr>
          <w:rFonts w:ascii="Verdana" w:hAnsi="Verdana"/>
          <w:sz w:val="20"/>
        </w:rPr>
        <w:t xml:space="preserve">generally </w:t>
      </w:r>
      <w:r w:rsidRPr="004D22E3">
        <w:rPr>
          <w:rFonts w:ascii="Verdana" w:hAnsi="Verdana"/>
          <w:sz w:val="20"/>
        </w:rPr>
        <w:t xml:space="preserve">consistent with the High Court's </w:t>
      </w:r>
      <w:r>
        <w:rPr>
          <w:rFonts w:ascii="Verdana" w:hAnsi="Verdana"/>
          <w:sz w:val="20"/>
        </w:rPr>
        <w:t xml:space="preserve">approach </w:t>
      </w:r>
      <w:r w:rsidRPr="007A2990">
        <w:rPr>
          <w:rFonts w:ascii="Verdana" w:hAnsi="Verdana"/>
          <w:sz w:val="20"/>
        </w:rPr>
        <w:t>in the merits review judgment</w:t>
      </w:r>
      <w:r>
        <w:rPr>
          <w:rFonts w:ascii="Verdana" w:hAnsi="Verdana"/>
          <w:sz w:val="20"/>
        </w:rPr>
        <w:t xml:space="preserve"> to </w:t>
      </w:r>
      <w:r w:rsidRPr="004D22E3">
        <w:rPr>
          <w:rFonts w:ascii="Verdana" w:hAnsi="Verdana"/>
          <w:sz w:val="20"/>
        </w:rPr>
        <w:t xml:space="preserve">the Part 4 purpose statement.  </w:t>
      </w:r>
      <w:r>
        <w:rPr>
          <w:rFonts w:ascii="Verdana" w:hAnsi="Verdana"/>
          <w:sz w:val="20"/>
        </w:rPr>
        <w:t xml:space="preserve">However, in its </w:t>
      </w:r>
      <w:r w:rsidRPr="004D22E3">
        <w:rPr>
          <w:rFonts w:ascii="Verdana" w:hAnsi="Verdana"/>
          <w:i/>
          <w:sz w:val="20"/>
        </w:rPr>
        <w:t>obiter</w:t>
      </w:r>
      <w:r>
        <w:rPr>
          <w:rFonts w:ascii="Verdana" w:hAnsi="Verdana"/>
          <w:sz w:val="20"/>
        </w:rPr>
        <w:t xml:space="preserve"> comments in relation to the 75</w:t>
      </w:r>
      <w:r>
        <w:rPr>
          <w:rFonts w:ascii="Verdana" w:hAnsi="Verdana"/>
          <w:sz w:val="20"/>
          <w:vertAlign w:val="superscript"/>
        </w:rPr>
        <w:t>th</w:t>
      </w:r>
      <w:r>
        <w:rPr>
          <w:rFonts w:ascii="Verdana" w:hAnsi="Verdana"/>
          <w:sz w:val="20"/>
        </w:rPr>
        <w:t xml:space="preserve"> percentile issue, </w:t>
      </w:r>
      <w:r w:rsidRPr="004D22E3">
        <w:rPr>
          <w:rFonts w:ascii="Verdana" w:hAnsi="Verdana"/>
          <w:sz w:val="20"/>
        </w:rPr>
        <w:t xml:space="preserve">the Court stated that the </w:t>
      </w:r>
      <w:r w:rsidRPr="004D22E3">
        <w:rPr>
          <w:rFonts w:ascii="Verdana" w:hAnsi="Verdana"/>
          <w:sz w:val="20"/>
        </w:rPr>
        <w:lastRenderedPageBreak/>
        <w:t>Commission's choice of the 75</w:t>
      </w:r>
      <w:r>
        <w:rPr>
          <w:rFonts w:ascii="Verdana" w:hAnsi="Verdana"/>
          <w:sz w:val="20"/>
          <w:vertAlign w:val="superscript"/>
        </w:rPr>
        <w:t>th</w:t>
      </w:r>
      <w:r w:rsidRPr="004D22E3">
        <w:rPr>
          <w:rFonts w:ascii="Verdana" w:hAnsi="Verdana"/>
          <w:sz w:val="20"/>
        </w:rPr>
        <w:t xml:space="preserve"> percentile estimate was "clearly at odds" with s </w:t>
      </w:r>
      <w:proofErr w:type="gramStart"/>
      <w:r w:rsidRPr="004D22E3">
        <w:rPr>
          <w:rFonts w:ascii="Verdana" w:hAnsi="Verdana"/>
          <w:sz w:val="20"/>
        </w:rPr>
        <w:t>52A(</w:t>
      </w:r>
      <w:proofErr w:type="gramEnd"/>
      <w:r w:rsidRPr="004D22E3">
        <w:rPr>
          <w:rFonts w:ascii="Verdana" w:hAnsi="Verdana"/>
          <w:sz w:val="20"/>
        </w:rPr>
        <w:t>1)(d).</w:t>
      </w:r>
      <w:r w:rsidR="000D621E">
        <w:rPr>
          <w:rStyle w:val="FootnoteReference"/>
          <w:rFonts w:ascii="Verdana" w:hAnsi="Verdana"/>
          <w:sz w:val="20"/>
        </w:rPr>
        <w:footnoteReference w:id="11"/>
      </w:r>
      <w:r w:rsidRPr="004D22E3">
        <w:rPr>
          <w:rFonts w:ascii="Verdana" w:hAnsi="Verdana"/>
          <w:sz w:val="20"/>
        </w:rPr>
        <w:t xml:space="preserve">  Vector respectfully </w:t>
      </w:r>
      <w:r w:rsidR="004452E9">
        <w:rPr>
          <w:rFonts w:ascii="Verdana" w:hAnsi="Verdana"/>
          <w:sz w:val="20"/>
        </w:rPr>
        <w:t>questions</w:t>
      </w:r>
      <w:r w:rsidR="004452E9" w:rsidRPr="004D22E3">
        <w:rPr>
          <w:rFonts w:ascii="Verdana" w:hAnsi="Verdana"/>
          <w:sz w:val="20"/>
        </w:rPr>
        <w:t xml:space="preserve"> </w:t>
      </w:r>
      <w:r w:rsidRPr="004D22E3">
        <w:rPr>
          <w:rFonts w:ascii="Verdana" w:hAnsi="Verdana"/>
          <w:sz w:val="20"/>
        </w:rPr>
        <w:t xml:space="preserve">whether this </w:t>
      </w:r>
      <w:r>
        <w:rPr>
          <w:rFonts w:ascii="Verdana" w:hAnsi="Verdana"/>
          <w:sz w:val="20"/>
        </w:rPr>
        <w:t>comment</w:t>
      </w:r>
      <w:r w:rsidRPr="004D22E3">
        <w:rPr>
          <w:rFonts w:ascii="Verdana" w:hAnsi="Verdana"/>
          <w:sz w:val="20"/>
        </w:rPr>
        <w:t xml:space="preserve"> is correct</w:t>
      </w:r>
      <w:r>
        <w:rPr>
          <w:rFonts w:ascii="Verdana" w:hAnsi="Verdana"/>
          <w:sz w:val="20"/>
        </w:rPr>
        <w:t xml:space="preserve"> in law</w:t>
      </w:r>
      <w:r w:rsidRPr="004D22E3">
        <w:rPr>
          <w:rFonts w:ascii="Verdana" w:hAnsi="Verdana"/>
          <w:sz w:val="20"/>
        </w:rPr>
        <w:t>: the Court appears to be reading the s </w:t>
      </w:r>
      <w:proofErr w:type="gramStart"/>
      <w:r w:rsidRPr="004D22E3">
        <w:rPr>
          <w:rFonts w:ascii="Verdana" w:hAnsi="Verdana"/>
          <w:sz w:val="20"/>
        </w:rPr>
        <w:t>52A(</w:t>
      </w:r>
      <w:proofErr w:type="gramEnd"/>
      <w:r w:rsidRPr="004D22E3">
        <w:rPr>
          <w:rFonts w:ascii="Verdana" w:hAnsi="Verdana"/>
          <w:sz w:val="20"/>
        </w:rPr>
        <w:t>1)(d) purpose of "limiting" the ability of</w:t>
      </w:r>
      <w:r>
        <w:rPr>
          <w:rFonts w:ascii="Verdana" w:hAnsi="Verdana"/>
          <w:sz w:val="20"/>
        </w:rPr>
        <w:t xml:space="preserve"> </w:t>
      </w:r>
      <w:r w:rsidRPr="004D22E3">
        <w:rPr>
          <w:rFonts w:ascii="Verdana" w:hAnsi="Verdana"/>
          <w:sz w:val="20"/>
        </w:rPr>
        <w:t>regulated suppliers to extract excessive profits</w:t>
      </w:r>
      <w:r>
        <w:rPr>
          <w:rFonts w:ascii="Verdana" w:hAnsi="Verdana"/>
          <w:sz w:val="20"/>
        </w:rPr>
        <w:t xml:space="preserve"> as a purpose of "eliminating" such profits.  This point was expressly made by suppliers,</w:t>
      </w:r>
      <w:r w:rsidR="00A60864">
        <w:rPr>
          <w:rStyle w:val="FootnoteReference"/>
          <w:rFonts w:ascii="Verdana" w:hAnsi="Verdana"/>
          <w:sz w:val="20"/>
        </w:rPr>
        <w:footnoteReference w:id="12"/>
      </w:r>
      <w:r>
        <w:rPr>
          <w:rFonts w:ascii="Verdana" w:hAnsi="Verdana"/>
          <w:sz w:val="20"/>
        </w:rPr>
        <w:t xml:space="preserve"> but not addressed by the Court.  </w:t>
      </w:r>
      <w:r w:rsidR="00802BCA" w:rsidRPr="00802BCA">
        <w:rPr>
          <w:rFonts w:ascii="Verdana" w:hAnsi="Verdana"/>
          <w:sz w:val="20"/>
        </w:rPr>
        <w:t>Further, the Court does not appear to consider that</w:t>
      </w:r>
      <w:r w:rsidR="00802BCA">
        <w:rPr>
          <w:rFonts w:ascii="Verdana" w:hAnsi="Verdana"/>
          <w:sz w:val="20"/>
        </w:rPr>
        <w:t>,</w:t>
      </w:r>
      <w:r w:rsidR="00802BCA" w:rsidRPr="00802BCA">
        <w:rPr>
          <w:rFonts w:ascii="Verdana" w:hAnsi="Verdana"/>
          <w:sz w:val="20"/>
        </w:rPr>
        <w:t xml:space="preserve"> even at the 75</w:t>
      </w:r>
      <w:r w:rsidR="00802BCA" w:rsidRPr="00802BCA">
        <w:rPr>
          <w:rFonts w:ascii="Verdana" w:hAnsi="Verdana"/>
          <w:sz w:val="20"/>
          <w:vertAlign w:val="superscript"/>
        </w:rPr>
        <w:t>th</w:t>
      </w:r>
      <w:r w:rsidR="00802BCA" w:rsidRPr="00802BCA">
        <w:rPr>
          <w:rFonts w:ascii="Verdana" w:hAnsi="Verdana"/>
          <w:sz w:val="20"/>
        </w:rPr>
        <w:t xml:space="preserve"> percentile, ther</w:t>
      </w:r>
      <w:r w:rsidR="00802BCA">
        <w:rPr>
          <w:rFonts w:ascii="Verdana" w:hAnsi="Verdana"/>
          <w:sz w:val="20"/>
        </w:rPr>
        <w:t>e</w:t>
      </w:r>
      <w:r w:rsidR="00802BCA" w:rsidRPr="00802BCA">
        <w:rPr>
          <w:rFonts w:ascii="Verdana" w:hAnsi="Verdana"/>
          <w:sz w:val="20"/>
        </w:rPr>
        <w:t xml:space="preserve"> is the </w:t>
      </w:r>
      <w:r w:rsidR="00121447">
        <w:rPr>
          <w:rFonts w:ascii="Verdana" w:hAnsi="Verdana"/>
          <w:sz w:val="20"/>
        </w:rPr>
        <w:t>possibility</w:t>
      </w:r>
      <w:r w:rsidR="00802BCA" w:rsidRPr="00802BCA">
        <w:rPr>
          <w:rFonts w:ascii="Verdana" w:hAnsi="Verdana"/>
          <w:sz w:val="20"/>
        </w:rPr>
        <w:t xml:space="preserve"> that the WACC does not allow</w:t>
      </w:r>
      <w:r w:rsidR="00A50304">
        <w:rPr>
          <w:rFonts w:ascii="Verdana" w:hAnsi="Verdana"/>
          <w:sz w:val="20"/>
        </w:rPr>
        <w:t xml:space="preserve"> a normal return (and therefore should not be characterised as locking in an expectation of excessive returns)</w:t>
      </w:r>
      <w:r w:rsidR="00573241">
        <w:rPr>
          <w:rFonts w:ascii="Verdana" w:hAnsi="Verdana"/>
          <w:i/>
          <w:sz w:val="20"/>
        </w:rPr>
        <w:t>.</w:t>
      </w:r>
      <w:r w:rsidR="00C47F76" w:rsidRPr="00802BCA">
        <w:rPr>
          <w:rFonts w:ascii="Verdana" w:hAnsi="Verdana"/>
          <w:sz w:val="20"/>
        </w:rPr>
        <w:t xml:space="preserve"> In</w:t>
      </w:r>
      <w:r w:rsidR="00573241">
        <w:rPr>
          <w:rFonts w:ascii="Verdana" w:hAnsi="Verdana"/>
          <w:sz w:val="20"/>
        </w:rPr>
        <w:t xml:space="preserve"> any</w:t>
      </w:r>
      <w:r w:rsidRPr="00802BCA">
        <w:rPr>
          <w:rFonts w:ascii="Verdana" w:hAnsi="Verdana"/>
          <w:sz w:val="20"/>
        </w:rPr>
        <w:t xml:space="preserve"> case (and consistent with t</w:t>
      </w:r>
      <w:r w:rsidR="00573241">
        <w:rPr>
          <w:rFonts w:ascii="Verdana" w:hAnsi="Verdana"/>
          <w:sz w:val="20"/>
        </w:rPr>
        <w:t>he</w:t>
      </w:r>
      <w:r w:rsidRPr="00802BCA">
        <w:rPr>
          <w:rFonts w:ascii="Verdana" w:hAnsi="Verdana"/>
          <w:sz w:val="20"/>
          <w:vertAlign w:val="superscript"/>
        </w:rPr>
        <w:t xml:space="preserve"> </w:t>
      </w:r>
      <w:r w:rsidRPr="00802BCA">
        <w:rPr>
          <w:rFonts w:ascii="Verdana" w:hAnsi="Verdana"/>
          <w:sz w:val="20"/>
        </w:rPr>
        <w:t>analysis above), the Court went on to ask whether the possibility of "exc</w:t>
      </w:r>
      <w:r w:rsidR="00573241">
        <w:rPr>
          <w:rFonts w:ascii="Verdana" w:hAnsi="Verdana"/>
          <w:sz w:val="20"/>
        </w:rPr>
        <w:t>ess</w:t>
      </w:r>
      <w:r w:rsidRPr="00802BCA">
        <w:rPr>
          <w:rFonts w:ascii="Verdana" w:hAnsi="Verdana"/>
          <w:sz w:val="20"/>
        </w:rPr>
        <w:t>ive profits" was justified by a fear of failing to promote i</w:t>
      </w:r>
      <w:r w:rsidRPr="00D534DA">
        <w:rPr>
          <w:rFonts w:ascii="Verdana" w:hAnsi="Verdana"/>
          <w:sz w:val="20"/>
        </w:rPr>
        <w:t>n</w:t>
      </w:r>
      <w:r w:rsidRPr="00802BCA">
        <w:rPr>
          <w:rFonts w:ascii="Verdana" w:hAnsi="Verdana"/>
          <w:sz w:val="20"/>
        </w:rPr>
        <w:t>centives to innovate and invest,</w:t>
      </w:r>
      <w:r w:rsidR="00A60864" w:rsidRPr="00802BCA">
        <w:rPr>
          <w:rStyle w:val="FootnoteReference"/>
          <w:rFonts w:ascii="Verdana" w:hAnsi="Verdana"/>
          <w:sz w:val="20"/>
        </w:rPr>
        <w:footnoteReference w:id="13"/>
      </w:r>
      <w:r w:rsidRPr="00802BCA">
        <w:rPr>
          <w:rFonts w:ascii="Verdana" w:hAnsi="Verdana"/>
          <w:sz w:val="20"/>
        </w:rPr>
        <w:t xml:space="preserve"> and held that the answer to that question was to be decided by reference to what best promotes the long-term benefit of consumers.</w:t>
      </w:r>
      <w:r w:rsidR="00A60864" w:rsidRPr="00802BCA">
        <w:rPr>
          <w:rStyle w:val="FootnoteReference"/>
          <w:rFonts w:ascii="Verdana" w:hAnsi="Verdana"/>
          <w:sz w:val="20"/>
        </w:rPr>
        <w:footnoteReference w:id="14"/>
      </w:r>
      <w:r w:rsidRPr="00802BCA">
        <w:rPr>
          <w:rFonts w:ascii="Verdana" w:hAnsi="Verdana"/>
          <w:sz w:val="20"/>
        </w:rPr>
        <w:t xml:space="preserve">  </w:t>
      </w:r>
    </w:p>
    <w:p w14:paraId="530B21D5" w14:textId="77777777" w:rsidR="004A676C" w:rsidRPr="00802BCA" w:rsidRDefault="004A676C" w:rsidP="00A678F4">
      <w:pPr>
        <w:pStyle w:val="Heading1"/>
        <w:spacing w:after="240" w:line="240" w:lineRule="auto"/>
        <w:rPr>
          <w:rFonts w:ascii="Verdana" w:hAnsi="Verdana"/>
          <w:sz w:val="20"/>
          <w:szCs w:val="20"/>
        </w:rPr>
      </w:pPr>
      <w:bookmarkStart w:id="21" w:name="_Toc387068643"/>
      <w:r w:rsidRPr="00802BCA">
        <w:rPr>
          <w:rFonts w:ascii="Verdana" w:hAnsi="Verdana"/>
          <w:sz w:val="20"/>
          <w:szCs w:val="20"/>
          <w:lang w:val="en-NZ"/>
        </w:rPr>
        <w:t>Evidence</w:t>
      </w:r>
      <w:r w:rsidRPr="00802BCA">
        <w:rPr>
          <w:rFonts w:ascii="Verdana" w:hAnsi="Verdana"/>
          <w:sz w:val="20"/>
          <w:szCs w:val="20"/>
        </w:rPr>
        <w:t xml:space="preserve"> </w:t>
      </w:r>
      <w:r w:rsidRPr="00802BCA">
        <w:rPr>
          <w:rFonts w:ascii="Verdana" w:hAnsi="Verdana"/>
          <w:sz w:val="20"/>
          <w:szCs w:val="20"/>
          <w:lang w:val="en-NZ"/>
        </w:rPr>
        <w:t>supports</w:t>
      </w:r>
      <w:r w:rsidRPr="00802BCA">
        <w:rPr>
          <w:rFonts w:ascii="Verdana" w:hAnsi="Verdana"/>
          <w:sz w:val="20"/>
          <w:szCs w:val="20"/>
        </w:rPr>
        <w:t xml:space="preserve"> 75</w:t>
      </w:r>
      <w:r w:rsidRPr="00802BCA">
        <w:rPr>
          <w:rFonts w:ascii="Verdana" w:hAnsi="Verdana"/>
          <w:sz w:val="20"/>
          <w:szCs w:val="20"/>
          <w:vertAlign w:val="superscript"/>
        </w:rPr>
        <w:t>th</w:t>
      </w:r>
      <w:r w:rsidRPr="00802BCA">
        <w:rPr>
          <w:rFonts w:ascii="Verdana" w:hAnsi="Verdana"/>
          <w:sz w:val="20"/>
          <w:szCs w:val="20"/>
        </w:rPr>
        <w:t xml:space="preserve"> percentile</w:t>
      </w:r>
      <w:bookmarkEnd w:id="21"/>
    </w:p>
    <w:p w14:paraId="6D1DD77F" w14:textId="410218B6" w:rsidR="004A676C" w:rsidRDefault="004A676C" w:rsidP="00683A55">
      <w:pPr>
        <w:numPr>
          <w:ilvl w:val="0"/>
          <w:numId w:val="1"/>
        </w:numPr>
        <w:spacing w:before="120" w:after="120" w:line="312" w:lineRule="auto"/>
        <w:rPr>
          <w:rFonts w:ascii="Verdana" w:hAnsi="Verdana"/>
          <w:sz w:val="20"/>
        </w:rPr>
      </w:pPr>
      <w:r>
        <w:rPr>
          <w:rFonts w:ascii="Verdana" w:hAnsi="Verdana"/>
          <w:sz w:val="20"/>
        </w:rPr>
        <w:t>Thus far, the Commission has exercised its judgement, having regard to the relevant factors, to set the WACC for price/quality control purposes at an estimate of the 75</w:t>
      </w:r>
      <w:r>
        <w:rPr>
          <w:rFonts w:ascii="Verdana" w:hAnsi="Verdana"/>
          <w:sz w:val="20"/>
          <w:vertAlign w:val="superscript"/>
        </w:rPr>
        <w:t>th </w:t>
      </w:r>
      <w:r>
        <w:rPr>
          <w:rFonts w:ascii="Verdana" w:hAnsi="Verdana"/>
          <w:sz w:val="20"/>
        </w:rPr>
        <w:t>percentile rather than at the midpoint estimate.</w:t>
      </w:r>
      <w:r w:rsidR="00046B3F">
        <w:rPr>
          <w:rFonts w:ascii="Verdana" w:hAnsi="Verdana"/>
          <w:sz w:val="20"/>
        </w:rPr>
        <w:t xml:space="preserve">  The question raised by the Court was whether further evidence was needed and / or whether i</w:t>
      </w:r>
      <w:r w:rsidR="00C47F76">
        <w:rPr>
          <w:rFonts w:ascii="Verdana" w:hAnsi="Verdana"/>
          <w:sz w:val="20"/>
        </w:rPr>
        <w:t>t</w:t>
      </w:r>
      <w:r w:rsidR="00046B3F">
        <w:rPr>
          <w:rFonts w:ascii="Verdana" w:hAnsi="Verdana"/>
          <w:sz w:val="20"/>
        </w:rPr>
        <w:t xml:space="preserve"> was possible to obtain further evidence to justify the choice of percentile.</w:t>
      </w:r>
    </w:p>
    <w:p w14:paraId="2CE10B4A" w14:textId="623E6CE9" w:rsidR="004A676C" w:rsidRDefault="004A676C" w:rsidP="00683A55">
      <w:pPr>
        <w:numPr>
          <w:ilvl w:val="0"/>
          <w:numId w:val="1"/>
        </w:numPr>
        <w:spacing w:before="120" w:after="120" w:line="312" w:lineRule="auto"/>
        <w:rPr>
          <w:rFonts w:ascii="Verdana" w:hAnsi="Verdana"/>
          <w:sz w:val="20"/>
        </w:rPr>
      </w:pPr>
      <w:r>
        <w:rPr>
          <w:rFonts w:ascii="Verdana" w:hAnsi="Verdana"/>
          <w:sz w:val="20"/>
        </w:rPr>
        <w:t xml:space="preserve">As set out in the Sapere report, quantitative economic analysis strongly supports setting the regulatory WACC at </w:t>
      </w:r>
      <w:r w:rsidR="00046B3F">
        <w:rPr>
          <w:rFonts w:ascii="Verdana" w:hAnsi="Verdana"/>
          <w:sz w:val="20"/>
        </w:rPr>
        <w:t xml:space="preserve">or above </w:t>
      </w:r>
      <w:r>
        <w:rPr>
          <w:rFonts w:ascii="Verdana" w:hAnsi="Verdana"/>
          <w:sz w:val="20"/>
        </w:rPr>
        <w:t>the Commission's 75</w:t>
      </w:r>
      <w:r>
        <w:rPr>
          <w:rFonts w:ascii="Verdana" w:hAnsi="Verdana"/>
          <w:sz w:val="20"/>
          <w:vertAlign w:val="superscript"/>
        </w:rPr>
        <w:t>th</w:t>
      </w:r>
      <w:r>
        <w:rPr>
          <w:rFonts w:ascii="Verdana" w:hAnsi="Verdana"/>
          <w:sz w:val="20"/>
        </w:rPr>
        <w:t xml:space="preserve"> percentile estimate.  In summary:</w:t>
      </w:r>
    </w:p>
    <w:p w14:paraId="507ADBF1" w14:textId="4A284587" w:rsidR="004A676C" w:rsidRPr="00B471F5" w:rsidRDefault="004A676C" w:rsidP="00683A5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The Commission's 75</w:t>
      </w:r>
      <w:r w:rsidRPr="00B471F5">
        <w:rPr>
          <w:rFonts w:ascii="Verdana" w:hAnsi="Verdana"/>
          <w:sz w:val="20"/>
          <w:vertAlign w:val="superscript"/>
        </w:rPr>
        <w:t>th</w:t>
      </w:r>
      <w:r w:rsidRPr="00B471F5">
        <w:rPr>
          <w:rFonts w:ascii="Verdana" w:hAnsi="Verdana"/>
          <w:sz w:val="20"/>
        </w:rPr>
        <w:t xml:space="preserve"> percentile estimate is not an unbiased estimate of the 75</w:t>
      </w:r>
      <w:r w:rsidRPr="00B471F5">
        <w:rPr>
          <w:rFonts w:ascii="Verdana" w:hAnsi="Verdana"/>
          <w:sz w:val="20"/>
          <w:vertAlign w:val="superscript"/>
        </w:rPr>
        <w:t>th</w:t>
      </w:r>
      <w:r w:rsidRPr="00B471F5">
        <w:rPr>
          <w:rFonts w:ascii="Verdana" w:hAnsi="Verdana"/>
          <w:sz w:val="20"/>
        </w:rPr>
        <w:t xml:space="preserve"> percentile of the sampling distribution, because the Commission has not taken into account any potential sources of error other than parameter error</w:t>
      </w:r>
      <w:r w:rsidR="00D12E04" w:rsidRPr="00B471F5">
        <w:rPr>
          <w:rFonts w:ascii="Verdana" w:hAnsi="Verdana"/>
          <w:sz w:val="20"/>
        </w:rPr>
        <w:t xml:space="preserve">, nor has it recognised </w:t>
      </w:r>
      <w:r w:rsidR="00D12E04" w:rsidRPr="00B471F5">
        <w:rPr>
          <w:rFonts w:ascii="Verdana" w:hAnsi="Verdana"/>
          <w:sz w:val="20"/>
          <w:lang w:val="en-NZ"/>
        </w:rPr>
        <w:t>the significant degree of uncertainty in the CAPM based estimate of WACC resulting from parameter error</w:t>
      </w:r>
      <w:r w:rsidRPr="00B471F5">
        <w:rPr>
          <w:rFonts w:ascii="Verdana" w:hAnsi="Verdana"/>
          <w:sz w:val="20"/>
        </w:rPr>
        <w:t>.</w:t>
      </w:r>
      <w:r w:rsidR="00A009AE" w:rsidRPr="00B471F5">
        <w:rPr>
          <w:rStyle w:val="FootnoteReference"/>
          <w:rFonts w:ascii="Verdana" w:hAnsi="Verdana"/>
          <w:sz w:val="20"/>
        </w:rPr>
        <w:footnoteReference w:id="15"/>
      </w:r>
    </w:p>
    <w:p w14:paraId="14548006" w14:textId="17FAA8A2" w:rsidR="008A6B30" w:rsidRPr="00904F0A" w:rsidRDefault="00D12E04" w:rsidP="00683A5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Hence, the Commission cannot be sure that an estimate of WACC made according to its approach (without a margin) achieves for investors an expectation of a normal return.</w:t>
      </w:r>
      <w:r w:rsidR="00E67622">
        <w:rPr>
          <w:rStyle w:val="FootnoteReference"/>
          <w:rFonts w:ascii="Verdana" w:hAnsi="Verdana"/>
          <w:sz w:val="20"/>
        </w:rPr>
        <w:footnoteReference w:id="16"/>
      </w:r>
    </w:p>
    <w:p w14:paraId="4B72A8FF" w14:textId="65536425" w:rsidR="00D12E04" w:rsidRPr="00B471F5" w:rsidRDefault="00D12E04" w:rsidP="00683A5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Economic theory seems unambiguous; the economic loss to society of making incorrect decisions based on the WACC estimate are higher if WACC is under estimated than if it is over estimated.</w:t>
      </w:r>
      <w:r w:rsidR="00E67622">
        <w:rPr>
          <w:rStyle w:val="FootnoteReference"/>
          <w:rFonts w:ascii="Verdana" w:hAnsi="Verdana"/>
          <w:sz w:val="20"/>
        </w:rPr>
        <w:footnoteReference w:id="17"/>
      </w:r>
      <w:r w:rsidRPr="00904F0A">
        <w:t xml:space="preserve"> </w:t>
      </w:r>
    </w:p>
    <w:p w14:paraId="34B377D1" w14:textId="6E3B84FB" w:rsidR="00D12E04" w:rsidRPr="00B471F5" w:rsidRDefault="00D12E04" w:rsidP="00683A5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lastRenderedPageBreak/>
        <w:t>A mixed loss function, where the loss is small for low</w:t>
      </w:r>
      <w:r w:rsidR="004274D9">
        <w:rPr>
          <w:rFonts w:ascii="Verdana" w:hAnsi="Verdana"/>
          <w:sz w:val="20"/>
        </w:rPr>
        <w:t xml:space="preserve"> over or</w:t>
      </w:r>
      <w:r w:rsidRPr="00B471F5">
        <w:rPr>
          <w:rFonts w:ascii="Verdana" w:hAnsi="Verdana"/>
          <w:sz w:val="20"/>
        </w:rPr>
        <w:t xml:space="preserve"> underestimation but is exponential for significant underestimation, would appear to best model the loss from under or over estimation of WACC.</w:t>
      </w:r>
      <w:r w:rsidR="00E67622">
        <w:rPr>
          <w:rStyle w:val="FootnoteReference"/>
          <w:rFonts w:ascii="Verdana" w:hAnsi="Verdana"/>
          <w:sz w:val="20"/>
        </w:rPr>
        <w:footnoteReference w:id="18"/>
      </w:r>
    </w:p>
    <w:p w14:paraId="0A6A7DD5" w14:textId="334B6720" w:rsidR="00D12E04" w:rsidRPr="00904F0A" w:rsidRDefault="004A676C" w:rsidP="00D12E04">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Sapere</w:t>
      </w:r>
      <w:r w:rsidR="00BD0692" w:rsidRPr="00B471F5">
        <w:rPr>
          <w:rFonts w:ascii="Verdana" w:hAnsi="Verdana"/>
          <w:sz w:val="20"/>
        </w:rPr>
        <w:t xml:space="preserve"> </w:t>
      </w:r>
      <w:r w:rsidR="00D12E04" w:rsidRPr="00B471F5">
        <w:rPr>
          <w:rFonts w:ascii="Verdana" w:hAnsi="Verdana"/>
          <w:sz w:val="20"/>
        </w:rPr>
        <w:t>provides an order of magnitude estimate of the size of the potential welfare loss from a WACC that is set</w:t>
      </w:r>
      <w:r w:rsidR="00E67622">
        <w:rPr>
          <w:rFonts w:ascii="Verdana" w:hAnsi="Verdana"/>
          <w:sz w:val="20"/>
        </w:rPr>
        <w:t xml:space="preserve"> too low and a WACC that is set</w:t>
      </w:r>
      <w:r w:rsidR="00D12E04" w:rsidRPr="00B471F5">
        <w:rPr>
          <w:rFonts w:ascii="Verdana" w:hAnsi="Verdana"/>
          <w:sz w:val="20"/>
        </w:rPr>
        <w:t xml:space="preserve"> too high</w:t>
      </w:r>
      <w:r w:rsidR="00D12E04" w:rsidRPr="00904F0A">
        <w:rPr>
          <w:rFonts w:ascii="Verdana" w:hAnsi="Verdana"/>
          <w:sz w:val="20"/>
        </w:rPr>
        <w:t>.</w:t>
      </w:r>
      <w:r w:rsidR="00D12E04" w:rsidRPr="00B471F5">
        <w:rPr>
          <w:rFonts w:ascii="Verdana" w:hAnsi="Verdana"/>
          <w:sz w:val="20"/>
        </w:rPr>
        <w:t xml:space="preserve"> </w:t>
      </w:r>
      <w:r w:rsidR="00D12E04" w:rsidRPr="00904F0A">
        <w:rPr>
          <w:rFonts w:ascii="Verdana" w:hAnsi="Verdana"/>
          <w:sz w:val="20"/>
        </w:rPr>
        <w:t xml:space="preserve"> They</w:t>
      </w:r>
      <w:r w:rsidR="00D12E04" w:rsidRPr="00B471F5">
        <w:rPr>
          <w:rFonts w:ascii="Verdana" w:hAnsi="Verdana"/>
          <w:sz w:val="20"/>
        </w:rPr>
        <w:t xml:space="preserve"> show that only a comparatively small amount of investment need be cancelled to produce a much larger economic loss were WACC understated by the same amount</w:t>
      </w:r>
      <w:r w:rsidR="00DF0E1E" w:rsidRPr="00B471F5">
        <w:rPr>
          <w:rFonts w:ascii="Verdana" w:hAnsi="Verdana"/>
          <w:sz w:val="20"/>
        </w:rPr>
        <w:t>.</w:t>
      </w:r>
      <w:r w:rsidR="005B7783" w:rsidRPr="00B471F5">
        <w:rPr>
          <w:rStyle w:val="FootnoteReference"/>
          <w:rFonts w:ascii="Verdana" w:hAnsi="Verdana"/>
          <w:sz w:val="20"/>
        </w:rPr>
        <w:footnoteReference w:id="19"/>
      </w:r>
      <w:r w:rsidR="005B7783" w:rsidRPr="00B471F5">
        <w:rPr>
          <w:rFonts w:ascii="Verdana" w:hAnsi="Verdana"/>
          <w:sz w:val="20"/>
        </w:rPr>
        <w:t xml:space="preserve">  </w:t>
      </w:r>
    </w:p>
    <w:p w14:paraId="4EA4BCAF" w14:textId="4E4EE184" w:rsidR="004A676C" w:rsidRPr="00B471F5" w:rsidRDefault="00D12E04" w:rsidP="00D12E04">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Sapere concludes that the available analytical evidence, and inferences from investment decisions, certainly support the Commission adopting at least the 75</w:t>
      </w:r>
      <w:r w:rsidRPr="00B471F5">
        <w:rPr>
          <w:rFonts w:ascii="Verdana" w:hAnsi="Verdana"/>
          <w:sz w:val="20"/>
          <w:vertAlign w:val="superscript"/>
        </w:rPr>
        <w:t>th</w:t>
      </w:r>
      <w:r w:rsidRPr="00B471F5">
        <w:rPr>
          <w:rFonts w:ascii="Verdana" w:hAnsi="Verdana"/>
          <w:sz w:val="20"/>
        </w:rPr>
        <w:t xml:space="preserve"> percentile, if not higher, to account for the risks of parameter error.  This evidence also suggests that the Commission should, in addition, allow for model error in its estimate of WACC.</w:t>
      </w:r>
    </w:p>
    <w:p w14:paraId="20E75A52" w14:textId="77777777" w:rsidR="004A676C" w:rsidRPr="00DF0E1E" w:rsidRDefault="004A676C" w:rsidP="00683A55">
      <w:pPr>
        <w:numPr>
          <w:ilvl w:val="0"/>
          <w:numId w:val="1"/>
        </w:numPr>
        <w:spacing w:before="120" w:after="120" w:line="312" w:lineRule="auto"/>
        <w:rPr>
          <w:rFonts w:ascii="Verdana" w:hAnsi="Verdana"/>
          <w:sz w:val="20"/>
        </w:rPr>
      </w:pPr>
      <w:r w:rsidRPr="00DF0E1E">
        <w:rPr>
          <w:rFonts w:ascii="Verdana" w:hAnsi="Verdana"/>
          <w:sz w:val="20"/>
        </w:rPr>
        <w:t>Vector notes that a similar conclusion has been reached by Frontier for Transpower</w:t>
      </w:r>
      <w:r w:rsidR="00EA540F">
        <w:rPr>
          <w:rFonts w:ascii="Verdana" w:hAnsi="Verdana"/>
          <w:sz w:val="20"/>
        </w:rPr>
        <w:t xml:space="preserve"> and in other expert reports we have seen</w:t>
      </w:r>
      <w:r w:rsidRPr="00DF0E1E">
        <w:rPr>
          <w:rFonts w:ascii="Verdana" w:hAnsi="Verdana"/>
          <w:sz w:val="20"/>
        </w:rPr>
        <w:t>.</w:t>
      </w:r>
      <w:r w:rsidRPr="00DF0E1E">
        <w:rPr>
          <w:rStyle w:val="FootnoteReference"/>
          <w:rFonts w:ascii="Verdana" w:hAnsi="Verdana"/>
          <w:sz w:val="20"/>
        </w:rPr>
        <w:footnoteReference w:id="20"/>
      </w:r>
    </w:p>
    <w:p w14:paraId="6680BFF9" w14:textId="6FD9CA75" w:rsidR="004A676C" w:rsidRPr="00DF0E1E" w:rsidRDefault="00DF0E1E" w:rsidP="00683A55">
      <w:pPr>
        <w:numPr>
          <w:ilvl w:val="0"/>
          <w:numId w:val="1"/>
        </w:numPr>
        <w:spacing w:before="120" w:after="120" w:line="312" w:lineRule="auto"/>
        <w:rPr>
          <w:rFonts w:ascii="Verdana" w:hAnsi="Verdana"/>
          <w:sz w:val="20"/>
        </w:rPr>
      </w:pPr>
      <w:bookmarkStart w:id="22" w:name="_Toc385943249"/>
      <w:r w:rsidRPr="00DF0E1E">
        <w:rPr>
          <w:rFonts w:ascii="Verdana" w:hAnsi="Verdana"/>
          <w:sz w:val="20"/>
        </w:rPr>
        <w:t xml:space="preserve">Sapere emphasises that its findings reflect the work that it was possible to complete to a reasonable level of rigour within the timeframes set by the Commission.  Were more time available, </w:t>
      </w:r>
      <w:r w:rsidR="005B718C">
        <w:rPr>
          <w:rFonts w:ascii="Verdana" w:hAnsi="Verdana"/>
          <w:sz w:val="20"/>
        </w:rPr>
        <w:t xml:space="preserve">Sapere advise that </w:t>
      </w:r>
      <w:r w:rsidR="005B718C" w:rsidRPr="00B471F5">
        <w:rPr>
          <w:rFonts w:ascii="Verdana" w:hAnsi="Verdana"/>
          <w:sz w:val="20"/>
        </w:rPr>
        <w:t>it should be feasible to refine the</w:t>
      </w:r>
      <w:r w:rsidR="005B718C">
        <w:rPr>
          <w:rFonts w:ascii="Verdana" w:hAnsi="Verdana"/>
          <w:sz w:val="20"/>
        </w:rPr>
        <w:t>ir</w:t>
      </w:r>
      <w:r w:rsidR="005B718C" w:rsidRPr="00B471F5">
        <w:rPr>
          <w:rFonts w:ascii="Verdana" w:hAnsi="Verdana"/>
          <w:sz w:val="20"/>
        </w:rPr>
        <w:t xml:space="preserve"> analysis to help the Commission identify the degree of margin above the 75</w:t>
      </w:r>
      <w:r w:rsidR="005B718C" w:rsidRPr="00B471F5">
        <w:rPr>
          <w:rFonts w:ascii="Verdana" w:hAnsi="Verdana"/>
          <w:sz w:val="20"/>
          <w:vertAlign w:val="superscript"/>
        </w:rPr>
        <w:t>th</w:t>
      </w:r>
      <w:r w:rsidR="005B718C" w:rsidRPr="00B471F5">
        <w:rPr>
          <w:rFonts w:ascii="Verdana" w:hAnsi="Verdana"/>
          <w:sz w:val="20"/>
        </w:rPr>
        <w:t xml:space="preserve"> percentile that would be necessary to achieve, on an expected basis, a welfare enhancing trade-off between the risk of understating WACC and the risk of overstating WACC</w:t>
      </w:r>
      <w:r w:rsidRPr="00DF0E1E">
        <w:rPr>
          <w:rFonts w:ascii="Verdana" w:hAnsi="Verdana"/>
          <w:sz w:val="20"/>
        </w:rPr>
        <w:t>.</w:t>
      </w:r>
      <w:r>
        <w:rPr>
          <w:rFonts w:ascii="Verdana" w:hAnsi="Verdana"/>
          <w:sz w:val="20"/>
        </w:rPr>
        <w:t xml:space="preserve">  In our view the Commission should review its process for this IM review and make further time available for experts to further develop their analysis and peer review </w:t>
      </w:r>
      <w:proofErr w:type="spellStart"/>
      <w:r>
        <w:rPr>
          <w:rFonts w:ascii="Verdana" w:hAnsi="Verdana"/>
          <w:sz w:val="20"/>
        </w:rPr>
        <w:t>each others’</w:t>
      </w:r>
      <w:proofErr w:type="spellEnd"/>
      <w:r>
        <w:rPr>
          <w:rFonts w:ascii="Verdana" w:hAnsi="Verdana"/>
          <w:sz w:val="20"/>
        </w:rPr>
        <w:t xml:space="preserve"> work.</w:t>
      </w:r>
    </w:p>
    <w:p w14:paraId="74519888" w14:textId="77777777" w:rsidR="00EA540F" w:rsidRDefault="00385AA7" w:rsidP="00F923B1">
      <w:pPr>
        <w:numPr>
          <w:ilvl w:val="0"/>
          <w:numId w:val="1"/>
        </w:numPr>
        <w:spacing w:before="120" w:after="120" w:line="312" w:lineRule="auto"/>
        <w:rPr>
          <w:rFonts w:ascii="Verdana" w:hAnsi="Verdana"/>
          <w:sz w:val="20"/>
        </w:rPr>
      </w:pPr>
      <w:r w:rsidRPr="00F923B1">
        <w:rPr>
          <w:rFonts w:ascii="Verdana" w:hAnsi="Verdana"/>
          <w:sz w:val="20"/>
        </w:rPr>
        <w:t>Finally, Vector notes that the Commission has previously suggested that certain observations of Northington Partners regarding the valuation of Transpower and the recent acquisition of a 42% equity stake in Powerco imply the 75</w:t>
      </w:r>
      <w:r w:rsidRPr="00F923B1">
        <w:rPr>
          <w:rFonts w:ascii="Verdana" w:hAnsi="Verdana"/>
          <w:sz w:val="20"/>
          <w:vertAlign w:val="superscript"/>
        </w:rPr>
        <w:t>th</w:t>
      </w:r>
      <w:r w:rsidRPr="00F923B1">
        <w:rPr>
          <w:rFonts w:ascii="Verdana" w:hAnsi="Verdana"/>
          <w:sz w:val="20"/>
        </w:rPr>
        <w:t xml:space="preserve"> percentile WACC is higher than needed to promote efficient investment.  As foreshadowed in its submission dated </w:t>
      </w:r>
      <w:r w:rsidR="009B55D4" w:rsidRPr="009B55D4">
        <w:rPr>
          <w:rFonts w:ascii="Verdana" w:hAnsi="Verdana"/>
          <w:sz w:val="20"/>
        </w:rPr>
        <w:t>13 March 2014</w:t>
      </w:r>
      <w:r w:rsidRPr="00F923B1">
        <w:rPr>
          <w:rFonts w:ascii="Verdana" w:hAnsi="Verdana"/>
          <w:sz w:val="20"/>
        </w:rPr>
        <w:t xml:space="preserve">, Vector has commissioned an expert review by PwC of the Northington analysis, which is attached to this report.  </w:t>
      </w:r>
      <w:r w:rsidR="00EA540F">
        <w:rPr>
          <w:rFonts w:ascii="Verdana" w:hAnsi="Verdana"/>
          <w:sz w:val="20"/>
        </w:rPr>
        <w:t>Key conclusions of PwC include:</w:t>
      </w:r>
    </w:p>
    <w:p w14:paraId="79559AE1" w14:textId="77777777" w:rsidR="00EA540F" w:rsidRPr="00B471F5" w:rsidRDefault="00EA540F" w:rsidP="00B471F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t>It is not clear why Northington has applied different parameters in their calculation of WACC, compared to the parameters adopted by the Commission. For example</w:t>
      </w:r>
      <w:r>
        <w:rPr>
          <w:rFonts w:ascii="Verdana" w:hAnsi="Verdana"/>
          <w:sz w:val="20"/>
        </w:rPr>
        <w:t>,</w:t>
      </w:r>
      <w:r w:rsidRPr="00B471F5">
        <w:rPr>
          <w:rFonts w:ascii="Verdana" w:hAnsi="Verdana"/>
          <w:sz w:val="20"/>
        </w:rPr>
        <w:t xml:space="preserve"> the risk free rate adopted</w:t>
      </w:r>
      <w:r>
        <w:rPr>
          <w:rFonts w:ascii="Verdana" w:hAnsi="Verdana"/>
          <w:sz w:val="20"/>
        </w:rPr>
        <w:t xml:space="preserve"> by Northington </w:t>
      </w:r>
      <w:r w:rsidRPr="00B471F5">
        <w:rPr>
          <w:rFonts w:ascii="Verdana" w:hAnsi="Verdana"/>
          <w:sz w:val="20"/>
        </w:rPr>
        <w:t>is 75bps lower than that used in RCP2 (which is the period over which most of the cash flows are earned). One of the direct impacts of this approach is the differential that arises between WACC and regulated returns.</w:t>
      </w:r>
    </w:p>
    <w:p w14:paraId="6423A525" w14:textId="77777777" w:rsidR="00EA540F" w:rsidRPr="00EA540F" w:rsidRDefault="00EA540F" w:rsidP="00B471F5">
      <w:pPr>
        <w:numPr>
          <w:ilvl w:val="1"/>
          <w:numId w:val="1"/>
        </w:numPr>
        <w:tabs>
          <w:tab w:val="clear" w:pos="328"/>
          <w:tab w:val="num" w:pos="1134"/>
        </w:tabs>
        <w:spacing w:before="120" w:after="120" w:line="312" w:lineRule="auto"/>
        <w:ind w:left="1134" w:hanging="425"/>
        <w:rPr>
          <w:rFonts w:ascii="Verdana" w:hAnsi="Verdana"/>
          <w:sz w:val="20"/>
        </w:rPr>
      </w:pPr>
      <w:r w:rsidRPr="00B471F5">
        <w:rPr>
          <w:rFonts w:ascii="Verdana" w:hAnsi="Verdana"/>
          <w:sz w:val="20"/>
        </w:rPr>
        <w:lastRenderedPageBreak/>
        <w:t>Their analysis shows six reasons why a premium to the regulatory asset base value might be paid that are unrelated to an investor adopting a lower cost of capital. Accordingly, in nearly all cases where an investor pays a premium to the regulatory asset base value, this is NOT because that investor has adopted a lower cost of capital.</w:t>
      </w:r>
    </w:p>
    <w:p w14:paraId="46835C93" w14:textId="77777777" w:rsidR="000B0BE0" w:rsidRPr="00F923B1" w:rsidRDefault="00385AA7" w:rsidP="00F923B1">
      <w:pPr>
        <w:numPr>
          <w:ilvl w:val="0"/>
          <w:numId w:val="1"/>
        </w:numPr>
        <w:spacing w:before="120" w:after="120" w:line="312" w:lineRule="auto"/>
        <w:rPr>
          <w:rFonts w:ascii="Verdana" w:hAnsi="Verdana"/>
          <w:sz w:val="20"/>
        </w:rPr>
      </w:pPr>
      <w:r w:rsidRPr="00F923B1">
        <w:rPr>
          <w:rFonts w:ascii="Verdana" w:hAnsi="Verdana"/>
          <w:sz w:val="20"/>
        </w:rPr>
        <w:t xml:space="preserve">In short, PwC </w:t>
      </w:r>
      <w:r w:rsidR="00AA651A" w:rsidRPr="00F923B1">
        <w:rPr>
          <w:rFonts w:ascii="Verdana" w:hAnsi="Verdana"/>
          <w:sz w:val="20"/>
        </w:rPr>
        <w:t xml:space="preserve">disagrees that the Northington report is evidence that </w:t>
      </w:r>
      <w:r w:rsidR="0034723F" w:rsidRPr="00F923B1">
        <w:rPr>
          <w:rFonts w:ascii="Verdana" w:hAnsi="Verdana"/>
          <w:sz w:val="20"/>
        </w:rPr>
        <w:t>the 75</w:t>
      </w:r>
      <w:r w:rsidR="0034723F" w:rsidRPr="00F923B1">
        <w:rPr>
          <w:rFonts w:ascii="Verdana" w:hAnsi="Verdana"/>
          <w:sz w:val="20"/>
          <w:vertAlign w:val="superscript"/>
        </w:rPr>
        <w:t>th</w:t>
      </w:r>
      <w:r w:rsidR="0034723F" w:rsidRPr="00F923B1">
        <w:rPr>
          <w:rFonts w:ascii="Verdana" w:hAnsi="Verdana"/>
          <w:sz w:val="20"/>
        </w:rPr>
        <w:t xml:space="preserve"> percentile WACC is higher than needed. </w:t>
      </w:r>
      <w:bookmarkEnd w:id="22"/>
      <w:r w:rsidR="000B0BE0" w:rsidRPr="00F923B1">
        <w:rPr>
          <w:rFonts w:ascii="Verdana" w:hAnsi="Verdana"/>
          <w:sz w:val="20"/>
          <w:lang w:val="en-NZ"/>
        </w:rPr>
        <w:t>Evidence</w:t>
      </w:r>
      <w:r w:rsidR="000B0BE0" w:rsidRPr="00F923B1">
        <w:rPr>
          <w:rFonts w:ascii="Verdana" w:hAnsi="Verdana"/>
          <w:sz w:val="20"/>
        </w:rPr>
        <w:t xml:space="preserve"> is </w:t>
      </w:r>
      <w:r w:rsidR="000B0BE0" w:rsidRPr="00F923B1">
        <w:rPr>
          <w:rFonts w:ascii="Verdana" w:hAnsi="Verdana"/>
          <w:sz w:val="20"/>
          <w:lang w:val="en-NZ"/>
        </w:rPr>
        <w:t>required</w:t>
      </w:r>
      <w:r w:rsidR="000B0BE0" w:rsidRPr="00F923B1">
        <w:rPr>
          <w:rFonts w:ascii="Verdana" w:hAnsi="Verdana"/>
          <w:sz w:val="20"/>
        </w:rPr>
        <w:t xml:space="preserve"> </w:t>
      </w:r>
      <w:r w:rsidR="00DF0E1E">
        <w:rPr>
          <w:rFonts w:ascii="Verdana" w:hAnsi="Verdana"/>
          <w:sz w:val="20"/>
        </w:rPr>
        <w:t>to justify a change in approach.</w:t>
      </w:r>
    </w:p>
    <w:p w14:paraId="20793239" w14:textId="77777777" w:rsidR="008C5130" w:rsidRDefault="00AA45EE" w:rsidP="00683A55">
      <w:pPr>
        <w:numPr>
          <w:ilvl w:val="0"/>
          <w:numId w:val="1"/>
        </w:numPr>
        <w:spacing w:before="120" w:after="120" w:line="312" w:lineRule="auto"/>
        <w:rPr>
          <w:rFonts w:ascii="Verdana" w:hAnsi="Verdana"/>
          <w:sz w:val="20"/>
        </w:rPr>
      </w:pPr>
      <w:r>
        <w:rPr>
          <w:rFonts w:ascii="Verdana" w:hAnsi="Verdana"/>
          <w:sz w:val="20"/>
        </w:rPr>
        <w:t xml:space="preserve">Vector </w:t>
      </w:r>
      <w:r w:rsidR="000A5AC9">
        <w:rPr>
          <w:rFonts w:ascii="Verdana" w:hAnsi="Verdana"/>
          <w:sz w:val="20"/>
        </w:rPr>
        <w:t xml:space="preserve">further </w:t>
      </w:r>
      <w:r>
        <w:rPr>
          <w:rFonts w:ascii="Verdana" w:hAnsi="Verdana"/>
          <w:sz w:val="20"/>
        </w:rPr>
        <w:t xml:space="preserve">submits that </w:t>
      </w:r>
      <w:r w:rsidR="00AD6475">
        <w:rPr>
          <w:rFonts w:ascii="Verdana" w:hAnsi="Verdana"/>
          <w:sz w:val="20"/>
        </w:rPr>
        <w:t xml:space="preserve">the Commission should not depart from </w:t>
      </w:r>
      <w:r w:rsidR="004F0841">
        <w:rPr>
          <w:rFonts w:ascii="Verdana" w:hAnsi="Verdana"/>
          <w:sz w:val="20"/>
        </w:rPr>
        <w:t xml:space="preserve">its </w:t>
      </w:r>
      <w:r w:rsidR="00AD6475">
        <w:rPr>
          <w:rFonts w:ascii="Verdana" w:hAnsi="Verdana"/>
          <w:sz w:val="20"/>
        </w:rPr>
        <w:t xml:space="preserve">reasoning in </w:t>
      </w:r>
      <w:r w:rsidR="00195218">
        <w:rPr>
          <w:rFonts w:ascii="Verdana" w:hAnsi="Verdana"/>
          <w:sz w:val="20"/>
        </w:rPr>
        <w:t xml:space="preserve">support of </w:t>
      </w:r>
      <w:r w:rsidR="00AD6475">
        <w:rPr>
          <w:rFonts w:ascii="Verdana" w:hAnsi="Verdana"/>
          <w:sz w:val="20"/>
        </w:rPr>
        <w:t xml:space="preserve">its </w:t>
      </w:r>
      <w:r w:rsidR="004452E9">
        <w:rPr>
          <w:rFonts w:ascii="Verdana" w:hAnsi="Verdana"/>
          <w:sz w:val="20"/>
        </w:rPr>
        <w:t xml:space="preserve">WACC </w:t>
      </w:r>
      <w:r w:rsidR="00AD6475">
        <w:rPr>
          <w:rFonts w:ascii="Verdana" w:hAnsi="Verdana"/>
          <w:sz w:val="20"/>
        </w:rPr>
        <w:t xml:space="preserve">IM determinations unless and until there is </w:t>
      </w:r>
      <w:r w:rsidR="004F0841">
        <w:rPr>
          <w:rFonts w:ascii="Verdana" w:hAnsi="Verdana"/>
          <w:sz w:val="20"/>
        </w:rPr>
        <w:t xml:space="preserve">a </w:t>
      </w:r>
      <w:r w:rsidR="000B0BE0">
        <w:rPr>
          <w:rFonts w:ascii="Verdana" w:hAnsi="Verdana"/>
          <w:sz w:val="20"/>
        </w:rPr>
        <w:t>sound</w:t>
      </w:r>
      <w:r w:rsidR="00860F4E" w:rsidRPr="00860F4E">
        <w:rPr>
          <w:rFonts w:ascii="Verdana" w:hAnsi="Verdana"/>
          <w:sz w:val="20"/>
        </w:rPr>
        <w:t xml:space="preserve"> evi</w:t>
      </w:r>
      <w:r w:rsidR="00AD6475">
        <w:rPr>
          <w:rFonts w:ascii="Verdana" w:hAnsi="Verdana"/>
          <w:sz w:val="20"/>
        </w:rPr>
        <w:t>dential basis for</w:t>
      </w:r>
      <w:r w:rsidR="00543DE5">
        <w:rPr>
          <w:rFonts w:ascii="Verdana" w:hAnsi="Verdana"/>
          <w:sz w:val="20"/>
        </w:rPr>
        <w:t xml:space="preserve"> do</w:t>
      </w:r>
      <w:r w:rsidR="004F0841">
        <w:rPr>
          <w:rFonts w:ascii="Verdana" w:hAnsi="Verdana"/>
          <w:sz w:val="20"/>
        </w:rPr>
        <w:t>i</w:t>
      </w:r>
      <w:r w:rsidR="00543DE5">
        <w:rPr>
          <w:rFonts w:ascii="Verdana" w:hAnsi="Verdana"/>
          <w:sz w:val="20"/>
        </w:rPr>
        <w:t>ng so</w:t>
      </w:r>
      <w:r w:rsidR="008C5130">
        <w:rPr>
          <w:rFonts w:ascii="Verdana" w:hAnsi="Verdana"/>
          <w:sz w:val="20"/>
        </w:rPr>
        <w:t>.  As explained</w:t>
      </w:r>
      <w:r w:rsidR="00C2286C">
        <w:rPr>
          <w:rFonts w:ascii="Verdana" w:hAnsi="Verdana"/>
          <w:sz w:val="20"/>
        </w:rPr>
        <w:t xml:space="preserve"> further </w:t>
      </w:r>
      <w:r w:rsidR="008C5130">
        <w:rPr>
          <w:rFonts w:ascii="Verdana" w:hAnsi="Verdana"/>
          <w:sz w:val="20"/>
        </w:rPr>
        <w:t>below</w:t>
      </w:r>
      <w:r w:rsidR="00C2286C">
        <w:rPr>
          <w:rFonts w:ascii="Verdana" w:hAnsi="Verdana"/>
          <w:sz w:val="20"/>
        </w:rPr>
        <w:t>, this is where</w:t>
      </w:r>
      <w:r w:rsidR="008C5130">
        <w:rPr>
          <w:rFonts w:ascii="Verdana" w:hAnsi="Verdana"/>
          <w:sz w:val="20"/>
        </w:rPr>
        <w:t>:</w:t>
      </w:r>
    </w:p>
    <w:p w14:paraId="64887C09" w14:textId="77777777" w:rsidR="004F0841" w:rsidRDefault="004F0841" w:rsidP="00683A55">
      <w:pPr>
        <w:numPr>
          <w:ilvl w:val="1"/>
          <w:numId w:val="1"/>
        </w:numPr>
        <w:tabs>
          <w:tab w:val="clear" w:pos="328"/>
          <w:tab w:val="num" w:pos="1134"/>
        </w:tabs>
        <w:spacing w:before="120" w:after="120" w:line="312" w:lineRule="auto"/>
        <w:ind w:left="1134" w:hanging="425"/>
        <w:rPr>
          <w:rFonts w:ascii="Verdana" w:hAnsi="Verdana"/>
          <w:sz w:val="20"/>
        </w:rPr>
      </w:pPr>
      <w:r w:rsidRPr="00860F4E">
        <w:rPr>
          <w:rFonts w:ascii="Verdana" w:hAnsi="Verdana"/>
          <w:sz w:val="20"/>
        </w:rPr>
        <w:t xml:space="preserve">the Part 4 </w:t>
      </w:r>
      <w:r>
        <w:rPr>
          <w:rFonts w:ascii="Verdana" w:hAnsi="Verdana"/>
          <w:sz w:val="20"/>
        </w:rPr>
        <w:t xml:space="preserve">framework, and the purpose of IMs in particular, implicitly require that </w:t>
      </w:r>
      <w:r w:rsidR="006E44BA">
        <w:rPr>
          <w:rFonts w:ascii="Verdana" w:hAnsi="Verdana"/>
          <w:sz w:val="20"/>
        </w:rPr>
        <w:t xml:space="preserve">the </w:t>
      </w:r>
      <w:r w:rsidRPr="00860F4E">
        <w:rPr>
          <w:rFonts w:ascii="Verdana" w:hAnsi="Verdana"/>
          <w:sz w:val="20"/>
        </w:rPr>
        <w:t>I</w:t>
      </w:r>
      <w:r>
        <w:rPr>
          <w:rFonts w:ascii="Verdana" w:hAnsi="Verdana"/>
          <w:sz w:val="20"/>
        </w:rPr>
        <w:t xml:space="preserve">Ms, once determined, are consistently applied and changed only </w:t>
      </w:r>
      <w:r w:rsidR="006E44BA">
        <w:rPr>
          <w:rFonts w:ascii="Verdana" w:hAnsi="Verdana"/>
          <w:sz w:val="20"/>
        </w:rPr>
        <w:t>where there is a sound evidential basis; and</w:t>
      </w:r>
    </w:p>
    <w:p w14:paraId="630B6279" w14:textId="77777777" w:rsidR="00F40A58" w:rsidRDefault="00F40A58" w:rsidP="00683A55">
      <w:pPr>
        <w:numPr>
          <w:ilvl w:val="1"/>
          <w:numId w:val="1"/>
        </w:numPr>
        <w:tabs>
          <w:tab w:val="clear" w:pos="328"/>
          <w:tab w:val="num" w:pos="1134"/>
        </w:tabs>
        <w:spacing w:before="120" w:after="120" w:line="312" w:lineRule="auto"/>
        <w:ind w:left="1134" w:hanging="425"/>
        <w:rPr>
          <w:rFonts w:ascii="Verdana" w:hAnsi="Verdana"/>
          <w:sz w:val="20"/>
        </w:rPr>
      </w:pPr>
      <w:proofErr w:type="gramStart"/>
      <w:r>
        <w:rPr>
          <w:rFonts w:ascii="Verdana" w:hAnsi="Verdana"/>
          <w:sz w:val="20"/>
        </w:rPr>
        <w:t>regulatory</w:t>
      </w:r>
      <w:proofErr w:type="gramEnd"/>
      <w:r>
        <w:rPr>
          <w:rFonts w:ascii="Verdana" w:hAnsi="Verdana"/>
          <w:sz w:val="20"/>
        </w:rPr>
        <w:t xml:space="preserve"> c</w:t>
      </w:r>
      <w:r w:rsidRPr="00D534DA">
        <w:rPr>
          <w:rFonts w:ascii="Verdana" w:hAnsi="Verdana"/>
          <w:sz w:val="20"/>
        </w:rPr>
        <w:t>ommitment</w:t>
      </w:r>
      <w:r w:rsidR="00B60D04">
        <w:rPr>
          <w:rFonts w:ascii="Verdana" w:hAnsi="Verdana"/>
          <w:sz w:val="20"/>
        </w:rPr>
        <w:t xml:space="preserve"> and consistency</w:t>
      </w:r>
      <w:r w:rsidRPr="00D534DA">
        <w:rPr>
          <w:rFonts w:ascii="Verdana" w:hAnsi="Verdana"/>
          <w:sz w:val="20"/>
        </w:rPr>
        <w:t xml:space="preserve"> </w:t>
      </w:r>
      <w:r w:rsidR="00B60D04">
        <w:rPr>
          <w:rFonts w:ascii="Verdana" w:hAnsi="Verdana"/>
          <w:sz w:val="20"/>
        </w:rPr>
        <w:t xml:space="preserve">(being </w:t>
      </w:r>
      <w:r>
        <w:rPr>
          <w:rFonts w:ascii="Verdana" w:hAnsi="Verdana"/>
          <w:sz w:val="20"/>
        </w:rPr>
        <w:t>well accepted regulatory best practice principles</w:t>
      </w:r>
      <w:r w:rsidR="00B60D04">
        <w:rPr>
          <w:rFonts w:ascii="Verdana" w:hAnsi="Verdana"/>
          <w:sz w:val="20"/>
        </w:rPr>
        <w:t>) are</w:t>
      </w:r>
      <w:r>
        <w:rPr>
          <w:rFonts w:ascii="Verdana" w:hAnsi="Verdana"/>
          <w:sz w:val="20"/>
        </w:rPr>
        <w:t xml:space="preserve"> critical to confidence in </w:t>
      </w:r>
      <w:r w:rsidR="00CB0E59">
        <w:rPr>
          <w:rFonts w:ascii="Verdana" w:hAnsi="Verdana"/>
          <w:sz w:val="20"/>
        </w:rPr>
        <w:t xml:space="preserve">the Part 4 </w:t>
      </w:r>
      <w:r>
        <w:rPr>
          <w:rFonts w:ascii="Verdana" w:hAnsi="Verdana"/>
          <w:sz w:val="20"/>
        </w:rPr>
        <w:t>regime</w:t>
      </w:r>
      <w:r w:rsidR="00B60D04">
        <w:rPr>
          <w:rFonts w:ascii="Verdana" w:hAnsi="Verdana"/>
          <w:sz w:val="20"/>
        </w:rPr>
        <w:t xml:space="preserve"> and incentives to invest</w:t>
      </w:r>
      <w:r w:rsidR="00B122BD">
        <w:rPr>
          <w:rFonts w:ascii="Verdana" w:hAnsi="Verdana"/>
          <w:sz w:val="20"/>
        </w:rPr>
        <w:t>.</w:t>
      </w:r>
    </w:p>
    <w:p w14:paraId="46CDA9CD" w14:textId="77777777" w:rsidR="000A5AC9" w:rsidRPr="00840A76" w:rsidRDefault="000A5AC9" w:rsidP="00A74873">
      <w:pPr>
        <w:pStyle w:val="Heading1"/>
        <w:spacing w:after="240" w:line="240" w:lineRule="auto"/>
        <w:rPr>
          <w:rFonts w:ascii="Verdana" w:hAnsi="Verdana"/>
          <w:b w:val="0"/>
          <w:i/>
          <w:sz w:val="20"/>
          <w:szCs w:val="20"/>
        </w:rPr>
      </w:pPr>
      <w:bookmarkStart w:id="23" w:name="_Toc387068644"/>
      <w:r>
        <w:rPr>
          <w:rFonts w:ascii="Verdana" w:hAnsi="Verdana"/>
          <w:b w:val="0"/>
          <w:i/>
          <w:sz w:val="20"/>
          <w:szCs w:val="20"/>
        </w:rPr>
        <w:t>Part 4 framework / r</w:t>
      </w:r>
      <w:r w:rsidRPr="00840A76">
        <w:rPr>
          <w:rFonts w:ascii="Verdana" w:hAnsi="Verdana"/>
          <w:b w:val="0"/>
          <w:i/>
          <w:sz w:val="20"/>
          <w:szCs w:val="20"/>
        </w:rPr>
        <w:t>egulatory best practice</w:t>
      </w:r>
      <w:bookmarkEnd w:id="23"/>
      <w:r w:rsidRPr="00840A76">
        <w:rPr>
          <w:rFonts w:ascii="Verdana" w:hAnsi="Verdana"/>
          <w:b w:val="0"/>
          <w:i/>
          <w:sz w:val="20"/>
          <w:szCs w:val="20"/>
        </w:rPr>
        <w:t xml:space="preserve"> </w:t>
      </w:r>
    </w:p>
    <w:p w14:paraId="5AF80240" w14:textId="77777777" w:rsidR="00800DEF" w:rsidRPr="00D534DA" w:rsidRDefault="0076460F" w:rsidP="00683A55">
      <w:pPr>
        <w:numPr>
          <w:ilvl w:val="0"/>
          <w:numId w:val="1"/>
        </w:numPr>
        <w:spacing w:before="120" w:after="120" w:line="312" w:lineRule="auto"/>
        <w:rPr>
          <w:rFonts w:ascii="Verdana" w:hAnsi="Verdana"/>
          <w:sz w:val="20"/>
        </w:rPr>
      </w:pPr>
      <w:r>
        <w:rPr>
          <w:rFonts w:ascii="Verdana" w:hAnsi="Verdana"/>
          <w:sz w:val="20"/>
        </w:rPr>
        <w:t xml:space="preserve">In relation to the legislative framework, </w:t>
      </w:r>
      <w:r w:rsidR="00645D39">
        <w:rPr>
          <w:rFonts w:ascii="Verdana" w:hAnsi="Verdana"/>
          <w:sz w:val="20"/>
        </w:rPr>
        <w:t xml:space="preserve">Part 4 does not envisage </w:t>
      </w:r>
      <w:r w:rsidR="00800DEF" w:rsidRPr="00D534DA">
        <w:rPr>
          <w:rFonts w:ascii="Verdana" w:hAnsi="Verdana"/>
          <w:sz w:val="20"/>
        </w:rPr>
        <w:t xml:space="preserve">constant </w:t>
      </w:r>
      <w:r w:rsidR="00B27A2B">
        <w:rPr>
          <w:rFonts w:ascii="Verdana" w:hAnsi="Verdana"/>
          <w:sz w:val="20"/>
        </w:rPr>
        <w:t xml:space="preserve">or arbitrary </w:t>
      </w:r>
      <w:r w:rsidR="00800DEF" w:rsidRPr="00D534DA">
        <w:rPr>
          <w:rFonts w:ascii="Verdana" w:hAnsi="Verdana"/>
          <w:sz w:val="20"/>
        </w:rPr>
        <w:t xml:space="preserve">change to the IMs </w:t>
      </w:r>
      <w:r>
        <w:rPr>
          <w:rFonts w:ascii="Verdana" w:hAnsi="Verdana"/>
          <w:sz w:val="20"/>
        </w:rPr>
        <w:t xml:space="preserve">(or </w:t>
      </w:r>
      <w:r w:rsidR="00645D39">
        <w:rPr>
          <w:rFonts w:ascii="Verdana" w:hAnsi="Verdana"/>
          <w:sz w:val="20"/>
        </w:rPr>
        <w:t xml:space="preserve">to </w:t>
      </w:r>
      <w:r>
        <w:rPr>
          <w:rFonts w:ascii="Verdana" w:hAnsi="Verdana"/>
          <w:sz w:val="20"/>
        </w:rPr>
        <w:t>the reasoning adopted in the IMs)</w:t>
      </w:r>
      <w:r w:rsidR="00B122BD">
        <w:rPr>
          <w:rFonts w:ascii="Verdana" w:hAnsi="Verdana"/>
          <w:sz w:val="20"/>
        </w:rPr>
        <w:t xml:space="preserve">. </w:t>
      </w:r>
      <w:r>
        <w:rPr>
          <w:rFonts w:ascii="Verdana" w:hAnsi="Verdana"/>
          <w:sz w:val="20"/>
        </w:rPr>
        <w:t xml:space="preserve"> </w:t>
      </w:r>
      <w:r w:rsidR="00B27A2B">
        <w:rPr>
          <w:rFonts w:ascii="Verdana" w:hAnsi="Verdana"/>
          <w:sz w:val="20"/>
        </w:rPr>
        <w:t>Th</w:t>
      </w:r>
      <w:r w:rsidR="00645D39">
        <w:rPr>
          <w:rFonts w:ascii="Verdana" w:hAnsi="Verdana"/>
          <w:sz w:val="20"/>
        </w:rPr>
        <w:t xml:space="preserve">is is </w:t>
      </w:r>
      <w:r w:rsidR="005976F5">
        <w:rPr>
          <w:rFonts w:ascii="Verdana" w:hAnsi="Verdana"/>
          <w:sz w:val="20"/>
        </w:rPr>
        <w:t>where:</w:t>
      </w:r>
    </w:p>
    <w:p w14:paraId="777B36DA" w14:textId="77777777" w:rsidR="00746EBD" w:rsidRDefault="00746EBD" w:rsidP="00683A55">
      <w:pPr>
        <w:numPr>
          <w:ilvl w:val="1"/>
          <w:numId w:val="1"/>
        </w:numPr>
        <w:tabs>
          <w:tab w:val="clear" w:pos="328"/>
          <w:tab w:val="num" w:pos="1134"/>
        </w:tabs>
        <w:spacing w:before="120" w:after="120" w:line="312" w:lineRule="auto"/>
        <w:ind w:left="1134" w:hanging="425"/>
        <w:rPr>
          <w:rFonts w:ascii="Verdana" w:hAnsi="Verdana"/>
          <w:sz w:val="20"/>
        </w:rPr>
      </w:pPr>
      <w:r>
        <w:rPr>
          <w:rFonts w:ascii="Verdana" w:hAnsi="Verdana"/>
          <w:sz w:val="20"/>
        </w:rPr>
        <w:t>Critically, c</w:t>
      </w:r>
      <w:r w:rsidR="00645D39">
        <w:rPr>
          <w:rFonts w:ascii="Verdana" w:hAnsi="Verdana"/>
          <w:sz w:val="20"/>
        </w:rPr>
        <w:t xml:space="preserve">hanging regulatory approaches to the IMs without good reason </w:t>
      </w:r>
      <w:r w:rsidR="00645D39" w:rsidRPr="00D534DA">
        <w:rPr>
          <w:rFonts w:ascii="Verdana" w:hAnsi="Verdana"/>
          <w:sz w:val="20"/>
        </w:rPr>
        <w:t xml:space="preserve">is contrary to </w:t>
      </w:r>
      <w:r>
        <w:rPr>
          <w:rFonts w:ascii="Verdana" w:hAnsi="Verdana"/>
          <w:sz w:val="20"/>
        </w:rPr>
        <w:t xml:space="preserve">the </w:t>
      </w:r>
      <w:r w:rsidR="00645D39">
        <w:rPr>
          <w:rFonts w:ascii="Verdana" w:hAnsi="Verdana"/>
          <w:sz w:val="20"/>
        </w:rPr>
        <w:t xml:space="preserve">overarching </w:t>
      </w:r>
      <w:r w:rsidR="00645D39" w:rsidRPr="00D534DA">
        <w:rPr>
          <w:rFonts w:ascii="Verdana" w:hAnsi="Verdana"/>
          <w:sz w:val="20"/>
        </w:rPr>
        <w:t>certainty objective in s</w:t>
      </w:r>
      <w:r w:rsidR="004452E9">
        <w:rPr>
          <w:rFonts w:ascii="Verdana" w:hAnsi="Verdana"/>
          <w:sz w:val="20"/>
        </w:rPr>
        <w:t>ection</w:t>
      </w:r>
      <w:r w:rsidR="00645D39" w:rsidRPr="00D534DA">
        <w:rPr>
          <w:rFonts w:ascii="Verdana" w:hAnsi="Verdana"/>
          <w:sz w:val="20"/>
        </w:rPr>
        <w:t xml:space="preserve"> 52R</w:t>
      </w:r>
      <w:r w:rsidR="00645D39">
        <w:rPr>
          <w:rFonts w:ascii="Verdana" w:hAnsi="Verdana"/>
          <w:sz w:val="20"/>
        </w:rPr>
        <w:t xml:space="preserve"> and the Part 4 purpose (where certainty is considered a pre-requisite to incentives to invest)</w:t>
      </w:r>
      <w:r w:rsidR="00645D39" w:rsidRPr="00D534DA">
        <w:rPr>
          <w:rFonts w:ascii="Verdana" w:hAnsi="Verdana"/>
          <w:sz w:val="20"/>
        </w:rPr>
        <w:t>.</w:t>
      </w:r>
      <w:r w:rsidR="00645D39" w:rsidRPr="00800DEF">
        <w:rPr>
          <w:rFonts w:ascii="Verdana" w:hAnsi="Verdana"/>
          <w:sz w:val="20"/>
        </w:rPr>
        <w:t xml:space="preserve"> </w:t>
      </w:r>
      <w:r w:rsidR="00645D39">
        <w:rPr>
          <w:rFonts w:ascii="Verdana" w:hAnsi="Verdana"/>
          <w:sz w:val="20"/>
        </w:rPr>
        <w:t xml:space="preserve">  </w:t>
      </w:r>
    </w:p>
    <w:p w14:paraId="4CF42EB9" w14:textId="77777777" w:rsidR="00800DEF" w:rsidRPr="00746EBD" w:rsidRDefault="00645D39" w:rsidP="00683A55">
      <w:pPr>
        <w:numPr>
          <w:ilvl w:val="1"/>
          <w:numId w:val="1"/>
        </w:numPr>
        <w:tabs>
          <w:tab w:val="clear" w:pos="328"/>
          <w:tab w:val="num" w:pos="1134"/>
        </w:tabs>
        <w:spacing w:before="120" w:after="120" w:line="312" w:lineRule="auto"/>
        <w:ind w:left="1134" w:hanging="425"/>
        <w:rPr>
          <w:rFonts w:ascii="Verdana" w:hAnsi="Verdana"/>
          <w:sz w:val="20"/>
        </w:rPr>
      </w:pPr>
      <w:r w:rsidRPr="00746EBD">
        <w:rPr>
          <w:rFonts w:ascii="Verdana" w:hAnsi="Verdana"/>
          <w:sz w:val="20"/>
        </w:rPr>
        <w:t xml:space="preserve">The Commission is required to determine </w:t>
      </w:r>
      <w:r w:rsidR="00746EBD">
        <w:rPr>
          <w:rFonts w:ascii="Verdana" w:hAnsi="Verdana"/>
          <w:sz w:val="20"/>
        </w:rPr>
        <w:t xml:space="preserve">the </w:t>
      </w:r>
      <w:r w:rsidRPr="00746EBD">
        <w:rPr>
          <w:rFonts w:ascii="Verdana" w:hAnsi="Verdana"/>
          <w:sz w:val="20"/>
        </w:rPr>
        <w:t xml:space="preserve">IMs </w:t>
      </w:r>
      <w:r w:rsidR="00746EBD">
        <w:rPr>
          <w:rFonts w:ascii="Verdana" w:hAnsi="Verdana"/>
          <w:sz w:val="20"/>
        </w:rPr>
        <w:t xml:space="preserve">to be applied </w:t>
      </w:r>
      <w:r w:rsidRPr="00746EBD">
        <w:rPr>
          <w:rFonts w:ascii="Verdana" w:hAnsi="Verdana"/>
          <w:sz w:val="20"/>
        </w:rPr>
        <w:t>at</w:t>
      </w:r>
      <w:r w:rsidR="00746EBD" w:rsidRPr="00746EBD">
        <w:rPr>
          <w:rFonts w:ascii="Verdana" w:hAnsi="Verdana"/>
          <w:sz w:val="20"/>
        </w:rPr>
        <w:t xml:space="preserve"> the commencement of the regime</w:t>
      </w:r>
      <w:r w:rsidR="00A614A1">
        <w:rPr>
          <w:rFonts w:ascii="Verdana" w:hAnsi="Verdana"/>
          <w:sz w:val="20"/>
        </w:rPr>
        <w:t>,</w:t>
      </w:r>
      <w:r w:rsidR="00746EBD" w:rsidRPr="00746EBD">
        <w:rPr>
          <w:rFonts w:ascii="Verdana" w:hAnsi="Verdana"/>
          <w:sz w:val="20"/>
        </w:rPr>
        <w:t xml:space="preserve"> </w:t>
      </w:r>
      <w:r w:rsidR="00A614A1">
        <w:rPr>
          <w:rFonts w:ascii="Verdana" w:hAnsi="Verdana"/>
          <w:sz w:val="20"/>
        </w:rPr>
        <w:t>which then</w:t>
      </w:r>
      <w:r w:rsidR="00800DEF" w:rsidRPr="00746EBD">
        <w:rPr>
          <w:rFonts w:ascii="Verdana" w:hAnsi="Verdana"/>
          <w:sz w:val="20"/>
        </w:rPr>
        <w:t xml:space="preserve"> must be published and are subject to merits review </w:t>
      </w:r>
      <w:r w:rsidR="00A614A1">
        <w:rPr>
          <w:rFonts w:ascii="Verdana" w:hAnsi="Verdana"/>
          <w:sz w:val="20"/>
        </w:rPr>
        <w:t>(and possibly further</w:t>
      </w:r>
      <w:r w:rsidR="00A614A1" w:rsidRPr="00746EBD">
        <w:rPr>
          <w:rFonts w:ascii="Verdana" w:hAnsi="Verdana"/>
          <w:sz w:val="20"/>
        </w:rPr>
        <w:t>)</w:t>
      </w:r>
      <w:r w:rsidR="00A614A1">
        <w:rPr>
          <w:rFonts w:ascii="Verdana" w:hAnsi="Verdana"/>
          <w:sz w:val="20"/>
        </w:rPr>
        <w:t>,</w:t>
      </w:r>
      <w:r w:rsidR="00A614A1" w:rsidRPr="00746EBD">
        <w:rPr>
          <w:rFonts w:ascii="Verdana" w:hAnsi="Verdana"/>
          <w:sz w:val="20"/>
        </w:rPr>
        <w:t xml:space="preserve"> </w:t>
      </w:r>
      <w:r w:rsidR="00800DEF" w:rsidRPr="00746EBD">
        <w:rPr>
          <w:rFonts w:ascii="Verdana" w:hAnsi="Verdana"/>
          <w:sz w:val="20"/>
        </w:rPr>
        <w:t>appeal</w:t>
      </w:r>
      <w:r w:rsidR="00A614A1">
        <w:rPr>
          <w:rFonts w:ascii="Verdana" w:hAnsi="Verdana"/>
          <w:sz w:val="20"/>
        </w:rPr>
        <w:t xml:space="preserve">, the </w:t>
      </w:r>
      <w:r w:rsidR="009D73DB">
        <w:rPr>
          <w:rFonts w:ascii="Verdana" w:hAnsi="Verdana"/>
          <w:sz w:val="20"/>
        </w:rPr>
        <w:t xml:space="preserve"> </w:t>
      </w:r>
      <w:r w:rsidR="00A614A1">
        <w:rPr>
          <w:rFonts w:ascii="Verdana" w:hAnsi="Verdana"/>
          <w:sz w:val="20"/>
        </w:rPr>
        <w:t>IMs thus being</w:t>
      </w:r>
      <w:r w:rsidR="00800DEF" w:rsidRPr="00746EBD">
        <w:rPr>
          <w:rFonts w:ascii="Verdana" w:hAnsi="Verdana"/>
          <w:sz w:val="20"/>
        </w:rPr>
        <w:t xml:space="preserve"> </w:t>
      </w:r>
      <w:r w:rsidR="00746EBD">
        <w:rPr>
          <w:rFonts w:ascii="Verdana" w:hAnsi="Verdana"/>
          <w:sz w:val="20"/>
        </w:rPr>
        <w:t xml:space="preserve">clearly </w:t>
      </w:r>
      <w:r w:rsidR="00C60E57" w:rsidRPr="00746EBD">
        <w:rPr>
          <w:rFonts w:ascii="Verdana" w:hAnsi="Verdana"/>
          <w:sz w:val="20"/>
        </w:rPr>
        <w:t>intended to have a long</w:t>
      </w:r>
      <w:r w:rsidR="00A614A1">
        <w:rPr>
          <w:rFonts w:ascii="Verdana" w:hAnsi="Verdana"/>
          <w:sz w:val="20"/>
        </w:rPr>
        <w:t>-</w:t>
      </w:r>
      <w:r w:rsidR="00C60E57" w:rsidRPr="00746EBD">
        <w:rPr>
          <w:rFonts w:ascii="Verdana" w:hAnsi="Verdana"/>
          <w:sz w:val="20"/>
        </w:rPr>
        <w:t>lasting and precedent</w:t>
      </w:r>
      <w:r w:rsidR="004452E9">
        <w:rPr>
          <w:rFonts w:ascii="Verdana" w:hAnsi="Verdana"/>
          <w:sz w:val="20"/>
        </w:rPr>
        <w:t>ial</w:t>
      </w:r>
      <w:r w:rsidR="00C60E57" w:rsidRPr="00746EBD">
        <w:rPr>
          <w:rFonts w:ascii="Verdana" w:hAnsi="Verdana"/>
          <w:sz w:val="20"/>
        </w:rPr>
        <w:t xml:space="preserve"> effect</w:t>
      </w:r>
      <w:r w:rsidR="00800DEF" w:rsidRPr="00746EBD">
        <w:rPr>
          <w:rFonts w:ascii="Verdana" w:hAnsi="Verdana"/>
          <w:sz w:val="20"/>
        </w:rPr>
        <w:t>;</w:t>
      </w:r>
      <w:r w:rsidR="00A614A1" w:rsidRPr="00A614A1">
        <w:rPr>
          <w:rStyle w:val="FootnoteReference"/>
          <w:rFonts w:ascii="Verdana" w:hAnsi="Verdana"/>
          <w:sz w:val="20"/>
        </w:rPr>
        <w:t xml:space="preserve"> </w:t>
      </w:r>
      <w:r w:rsidR="00A614A1" w:rsidRPr="00D534DA">
        <w:rPr>
          <w:rStyle w:val="FootnoteReference"/>
          <w:rFonts w:ascii="Verdana" w:hAnsi="Verdana"/>
          <w:sz w:val="20"/>
        </w:rPr>
        <w:footnoteReference w:id="21"/>
      </w:r>
      <w:r w:rsidR="00B27A2B" w:rsidRPr="00746EBD">
        <w:rPr>
          <w:rFonts w:ascii="Verdana" w:hAnsi="Verdana"/>
          <w:sz w:val="20"/>
        </w:rPr>
        <w:t xml:space="preserve"> and</w:t>
      </w:r>
    </w:p>
    <w:p w14:paraId="4EB14DD7" w14:textId="77777777" w:rsidR="00800DEF" w:rsidRPr="00D534DA" w:rsidRDefault="00B122BD" w:rsidP="00683A55">
      <w:pPr>
        <w:numPr>
          <w:ilvl w:val="1"/>
          <w:numId w:val="1"/>
        </w:numPr>
        <w:tabs>
          <w:tab w:val="clear" w:pos="328"/>
          <w:tab w:val="num" w:pos="1134"/>
        </w:tabs>
        <w:spacing w:before="120" w:after="120" w:line="312" w:lineRule="auto"/>
        <w:ind w:left="1134" w:hanging="425"/>
        <w:rPr>
          <w:rFonts w:ascii="Verdana" w:hAnsi="Verdana"/>
          <w:sz w:val="20"/>
        </w:rPr>
      </w:pPr>
      <w:r>
        <w:rPr>
          <w:rFonts w:ascii="Verdana" w:hAnsi="Verdana"/>
          <w:sz w:val="20"/>
        </w:rPr>
        <w:t>T</w:t>
      </w:r>
      <w:r w:rsidR="00800DEF" w:rsidRPr="00D534DA">
        <w:rPr>
          <w:rFonts w:ascii="Verdana" w:hAnsi="Verdana"/>
          <w:sz w:val="20"/>
        </w:rPr>
        <w:t xml:space="preserve">he Commission is required only to </w:t>
      </w:r>
      <w:r w:rsidR="00645D39">
        <w:rPr>
          <w:rFonts w:ascii="Verdana" w:hAnsi="Verdana"/>
          <w:sz w:val="20"/>
        </w:rPr>
        <w:t>"</w:t>
      </w:r>
      <w:r w:rsidR="00800DEF" w:rsidRPr="00D534DA">
        <w:rPr>
          <w:rFonts w:ascii="Verdana" w:hAnsi="Verdana"/>
          <w:sz w:val="20"/>
        </w:rPr>
        <w:t>revi</w:t>
      </w:r>
      <w:r w:rsidR="00800DEF" w:rsidRPr="00B27A2B">
        <w:rPr>
          <w:rFonts w:ascii="Verdana" w:hAnsi="Verdana"/>
          <w:sz w:val="20"/>
        </w:rPr>
        <w:t>e</w:t>
      </w:r>
      <w:r w:rsidR="00800DEF" w:rsidRPr="00D534DA">
        <w:rPr>
          <w:rFonts w:ascii="Verdana" w:hAnsi="Verdana"/>
          <w:sz w:val="20"/>
        </w:rPr>
        <w:t>w</w:t>
      </w:r>
      <w:r w:rsidR="00645D39">
        <w:rPr>
          <w:rFonts w:ascii="Verdana" w:hAnsi="Verdana"/>
          <w:sz w:val="20"/>
        </w:rPr>
        <w:t>" the</w:t>
      </w:r>
      <w:r w:rsidR="00800DEF" w:rsidRPr="00D534DA">
        <w:rPr>
          <w:rFonts w:ascii="Verdana" w:hAnsi="Verdana"/>
          <w:sz w:val="20"/>
        </w:rPr>
        <w:t xml:space="preserve"> IMs </w:t>
      </w:r>
      <w:r w:rsidR="00C60E57">
        <w:rPr>
          <w:rFonts w:ascii="Verdana" w:hAnsi="Verdana"/>
          <w:sz w:val="20"/>
        </w:rPr>
        <w:t xml:space="preserve">within </w:t>
      </w:r>
      <w:r w:rsidR="00B27A2B">
        <w:rPr>
          <w:rFonts w:ascii="Verdana" w:hAnsi="Verdana"/>
          <w:sz w:val="20"/>
        </w:rPr>
        <w:t>seven years.</w:t>
      </w:r>
      <w:r w:rsidR="00800DEF" w:rsidRPr="00D534DA">
        <w:rPr>
          <w:rStyle w:val="FootnoteReference"/>
          <w:rFonts w:ascii="Verdana" w:hAnsi="Verdana"/>
          <w:sz w:val="20"/>
        </w:rPr>
        <w:footnoteReference w:id="22"/>
      </w:r>
    </w:p>
    <w:p w14:paraId="03041AC2" w14:textId="77777777" w:rsidR="00D534DA" w:rsidRPr="00D534DA" w:rsidRDefault="00D534DA" w:rsidP="00683A55">
      <w:pPr>
        <w:numPr>
          <w:ilvl w:val="0"/>
          <w:numId w:val="1"/>
        </w:numPr>
        <w:spacing w:before="120" w:after="120" w:line="312" w:lineRule="auto"/>
        <w:rPr>
          <w:rFonts w:ascii="Verdana" w:hAnsi="Verdana"/>
          <w:sz w:val="20"/>
        </w:rPr>
      </w:pPr>
      <w:r w:rsidRPr="00D534DA">
        <w:rPr>
          <w:rFonts w:ascii="Verdana" w:hAnsi="Verdana"/>
          <w:sz w:val="20"/>
        </w:rPr>
        <w:t xml:space="preserve">The Part 4 regime </w:t>
      </w:r>
      <w:r w:rsidR="00B27A2B">
        <w:rPr>
          <w:rFonts w:ascii="Verdana" w:hAnsi="Verdana"/>
          <w:sz w:val="20"/>
        </w:rPr>
        <w:t xml:space="preserve">also implicitly </w:t>
      </w:r>
      <w:r w:rsidRPr="00D534DA">
        <w:rPr>
          <w:rFonts w:ascii="Verdana" w:hAnsi="Verdana"/>
          <w:sz w:val="20"/>
        </w:rPr>
        <w:t>requires adherence to regulatory best practice principles. This is because the regulator's behaviour has a direct impact on regulatory certainty, and therefore on incentives to invest and the long-term benefit of consumers (</w:t>
      </w:r>
      <w:r w:rsidR="00B122BD">
        <w:rPr>
          <w:rFonts w:ascii="Verdana" w:hAnsi="Verdana"/>
          <w:sz w:val="20"/>
        </w:rPr>
        <w:t xml:space="preserve">the central purpose of Part 4).  </w:t>
      </w:r>
      <w:r w:rsidR="00EB1D6A" w:rsidRPr="00D534DA">
        <w:rPr>
          <w:rFonts w:ascii="Verdana" w:hAnsi="Verdana"/>
          <w:sz w:val="20"/>
        </w:rPr>
        <w:t xml:space="preserve">It is axiomatic that commitment and consistency are key principles of regulatory best practice and are critical to </w:t>
      </w:r>
      <w:r w:rsidR="00746EBD">
        <w:rPr>
          <w:rFonts w:ascii="Verdana" w:hAnsi="Verdana"/>
          <w:sz w:val="20"/>
        </w:rPr>
        <w:t>confidence in the regime</w:t>
      </w:r>
      <w:r w:rsidR="00A614A1">
        <w:rPr>
          <w:rFonts w:ascii="Verdana" w:hAnsi="Verdana"/>
          <w:sz w:val="20"/>
        </w:rPr>
        <w:t xml:space="preserve"> and</w:t>
      </w:r>
      <w:r w:rsidR="00746EBD">
        <w:rPr>
          <w:rFonts w:ascii="Verdana" w:hAnsi="Verdana"/>
          <w:sz w:val="20"/>
        </w:rPr>
        <w:t xml:space="preserve"> </w:t>
      </w:r>
      <w:r w:rsidR="00EB1D6A" w:rsidRPr="00D534DA">
        <w:rPr>
          <w:rFonts w:ascii="Verdana" w:hAnsi="Verdana"/>
          <w:sz w:val="20"/>
        </w:rPr>
        <w:t>incentives to invest.</w:t>
      </w:r>
      <w:r w:rsidR="00FD5A04">
        <w:rPr>
          <w:rStyle w:val="FootnoteReference"/>
          <w:rFonts w:ascii="Verdana" w:hAnsi="Verdana"/>
          <w:sz w:val="20"/>
        </w:rPr>
        <w:footnoteReference w:id="23"/>
      </w:r>
    </w:p>
    <w:p w14:paraId="4F833C4C" w14:textId="77777777" w:rsidR="00D534DA" w:rsidRPr="00D534DA" w:rsidRDefault="00F70536" w:rsidP="00A74873">
      <w:pPr>
        <w:pStyle w:val="Heading1"/>
        <w:spacing w:after="240" w:line="240" w:lineRule="auto"/>
        <w:rPr>
          <w:rFonts w:ascii="Verdana" w:hAnsi="Verdana"/>
          <w:b w:val="0"/>
          <w:i/>
          <w:sz w:val="20"/>
          <w:szCs w:val="20"/>
        </w:rPr>
      </w:pPr>
      <w:bookmarkStart w:id="24" w:name="_Toc387068645"/>
      <w:r>
        <w:rPr>
          <w:rFonts w:ascii="Verdana" w:hAnsi="Verdana"/>
          <w:b w:val="0"/>
          <w:i/>
          <w:sz w:val="20"/>
          <w:szCs w:val="20"/>
        </w:rPr>
        <w:lastRenderedPageBreak/>
        <w:t xml:space="preserve">Evidence is required </w:t>
      </w:r>
      <w:r w:rsidR="003F1E18">
        <w:rPr>
          <w:rFonts w:ascii="Verdana" w:hAnsi="Verdana"/>
          <w:b w:val="0"/>
          <w:i/>
          <w:sz w:val="20"/>
          <w:szCs w:val="20"/>
        </w:rPr>
        <w:t xml:space="preserve">that its reasoning was wrong </w:t>
      </w:r>
      <w:r>
        <w:rPr>
          <w:rFonts w:ascii="Verdana" w:hAnsi="Verdana"/>
          <w:b w:val="0"/>
          <w:i/>
          <w:sz w:val="20"/>
          <w:szCs w:val="20"/>
        </w:rPr>
        <w:t xml:space="preserve">before the </w:t>
      </w:r>
      <w:r w:rsidR="008704A4">
        <w:rPr>
          <w:rFonts w:ascii="Verdana" w:hAnsi="Verdana"/>
          <w:b w:val="0"/>
          <w:i/>
          <w:sz w:val="20"/>
          <w:szCs w:val="20"/>
        </w:rPr>
        <w:t>Commission</w:t>
      </w:r>
      <w:r w:rsidR="007B35BB">
        <w:rPr>
          <w:rFonts w:ascii="Verdana" w:hAnsi="Verdana"/>
          <w:b w:val="0"/>
          <w:i/>
          <w:sz w:val="20"/>
          <w:szCs w:val="20"/>
        </w:rPr>
        <w:t xml:space="preserve"> abandon</w:t>
      </w:r>
      <w:r>
        <w:rPr>
          <w:rFonts w:ascii="Verdana" w:hAnsi="Verdana"/>
          <w:b w:val="0"/>
          <w:i/>
          <w:sz w:val="20"/>
          <w:szCs w:val="20"/>
        </w:rPr>
        <w:t>s</w:t>
      </w:r>
      <w:r w:rsidR="008704A4">
        <w:rPr>
          <w:rFonts w:ascii="Verdana" w:hAnsi="Verdana"/>
          <w:b w:val="0"/>
          <w:i/>
          <w:sz w:val="20"/>
          <w:szCs w:val="20"/>
        </w:rPr>
        <w:t xml:space="preserve"> its</w:t>
      </w:r>
      <w:r w:rsidR="00746EBD">
        <w:rPr>
          <w:rFonts w:ascii="Verdana" w:hAnsi="Verdana"/>
          <w:b w:val="0"/>
          <w:i/>
          <w:sz w:val="20"/>
          <w:szCs w:val="20"/>
        </w:rPr>
        <w:t xml:space="preserve"> reasons for adopting the 75</w:t>
      </w:r>
      <w:r w:rsidR="00746EBD" w:rsidRPr="00746EBD">
        <w:rPr>
          <w:rFonts w:ascii="Verdana" w:hAnsi="Verdana"/>
          <w:b w:val="0"/>
          <w:i/>
          <w:sz w:val="20"/>
          <w:szCs w:val="20"/>
          <w:vertAlign w:val="superscript"/>
        </w:rPr>
        <w:t>th</w:t>
      </w:r>
      <w:r w:rsidR="00746EBD">
        <w:rPr>
          <w:rFonts w:ascii="Verdana" w:hAnsi="Verdana"/>
          <w:b w:val="0"/>
          <w:i/>
          <w:sz w:val="20"/>
          <w:szCs w:val="20"/>
        </w:rPr>
        <w:t xml:space="preserve"> percentile</w:t>
      </w:r>
      <w:bookmarkEnd w:id="24"/>
      <w:r w:rsidR="007B35BB">
        <w:rPr>
          <w:rFonts w:ascii="Verdana" w:hAnsi="Verdana"/>
          <w:b w:val="0"/>
          <w:i/>
          <w:sz w:val="20"/>
          <w:szCs w:val="20"/>
        </w:rPr>
        <w:t xml:space="preserve"> </w:t>
      </w:r>
    </w:p>
    <w:p w14:paraId="78AD15D0" w14:textId="77777777" w:rsidR="004F0841" w:rsidRPr="00543DE5" w:rsidRDefault="007B35BB" w:rsidP="00683A55">
      <w:pPr>
        <w:numPr>
          <w:ilvl w:val="0"/>
          <w:numId w:val="1"/>
        </w:numPr>
        <w:tabs>
          <w:tab w:val="num" w:pos="1134"/>
        </w:tabs>
        <w:spacing w:before="120" w:after="120" w:line="312" w:lineRule="auto"/>
        <w:rPr>
          <w:rFonts w:ascii="Verdana" w:hAnsi="Verdana"/>
          <w:i/>
          <w:sz w:val="20"/>
        </w:rPr>
      </w:pPr>
      <w:r>
        <w:rPr>
          <w:rFonts w:ascii="Verdana" w:hAnsi="Verdana"/>
          <w:sz w:val="20"/>
        </w:rPr>
        <w:t>T</w:t>
      </w:r>
      <w:r w:rsidR="004F0841" w:rsidRPr="00543DE5">
        <w:rPr>
          <w:rFonts w:ascii="Verdana" w:hAnsi="Verdana"/>
          <w:sz w:val="20"/>
        </w:rPr>
        <w:t>he percentile provided for in the current WACC IM</w:t>
      </w:r>
      <w:r w:rsidR="004452E9">
        <w:rPr>
          <w:rFonts w:ascii="Verdana" w:hAnsi="Verdana"/>
          <w:sz w:val="20"/>
        </w:rPr>
        <w:t>s</w:t>
      </w:r>
      <w:r w:rsidR="004F0841" w:rsidRPr="00543DE5">
        <w:rPr>
          <w:rFonts w:ascii="Verdana" w:hAnsi="Verdana"/>
          <w:sz w:val="20"/>
        </w:rPr>
        <w:t>, and the Commission's reasons for adopting this percentile</w:t>
      </w:r>
      <w:r w:rsidR="004F0841">
        <w:rPr>
          <w:rFonts w:ascii="Verdana" w:hAnsi="Verdana"/>
          <w:sz w:val="20"/>
        </w:rPr>
        <w:t>,</w:t>
      </w:r>
      <w:r w:rsidR="004F0841" w:rsidRPr="00543DE5">
        <w:rPr>
          <w:rFonts w:ascii="Verdana" w:hAnsi="Verdana"/>
          <w:sz w:val="20"/>
        </w:rPr>
        <w:t xml:space="preserve"> must necessarily be treated as the appropriate starting point</w:t>
      </w:r>
      <w:r w:rsidR="00366042">
        <w:rPr>
          <w:rFonts w:ascii="Verdana" w:hAnsi="Verdana"/>
          <w:sz w:val="20"/>
        </w:rPr>
        <w:t xml:space="preserve"> for the current consultation</w:t>
      </w:r>
      <w:r w:rsidR="004F0841" w:rsidRPr="00543DE5">
        <w:rPr>
          <w:rFonts w:ascii="Verdana" w:hAnsi="Verdana"/>
          <w:sz w:val="20"/>
        </w:rPr>
        <w:t xml:space="preserve">.  </w:t>
      </w:r>
      <w:r w:rsidR="004F0841">
        <w:rPr>
          <w:rFonts w:ascii="Verdana" w:hAnsi="Verdana"/>
          <w:sz w:val="20"/>
        </w:rPr>
        <w:t xml:space="preserve">It would be </w:t>
      </w:r>
      <w:r w:rsidR="004F0841" w:rsidRPr="00543DE5">
        <w:rPr>
          <w:rFonts w:ascii="Verdana" w:hAnsi="Verdana"/>
          <w:sz w:val="20"/>
        </w:rPr>
        <w:t>contrary to the Part 4 framework and poor regulatory practic</w:t>
      </w:r>
      <w:r w:rsidR="009B55D4" w:rsidRPr="009B55D4">
        <w:rPr>
          <w:rFonts w:ascii="Verdana" w:hAnsi="Verdana"/>
          <w:sz w:val="20"/>
        </w:rPr>
        <w:t>e</w:t>
      </w:r>
      <w:r w:rsidR="004F0841" w:rsidRPr="00543DE5">
        <w:rPr>
          <w:rFonts w:ascii="Verdana" w:hAnsi="Verdana"/>
          <w:sz w:val="20"/>
        </w:rPr>
        <w:t xml:space="preserve"> for the Commission to radically change its </w:t>
      </w:r>
      <w:r w:rsidR="008704A4">
        <w:rPr>
          <w:rFonts w:ascii="Verdana" w:hAnsi="Verdana"/>
          <w:sz w:val="20"/>
        </w:rPr>
        <w:t xml:space="preserve">reasoning </w:t>
      </w:r>
      <w:r>
        <w:rPr>
          <w:rFonts w:ascii="Verdana" w:hAnsi="Verdana"/>
          <w:sz w:val="20"/>
        </w:rPr>
        <w:t xml:space="preserve">and abandon its approach </w:t>
      </w:r>
      <w:r w:rsidR="004F0841">
        <w:rPr>
          <w:rFonts w:ascii="Verdana" w:hAnsi="Verdana"/>
          <w:sz w:val="20"/>
        </w:rPr>
        <w:t>with</w:t>
      </w:r>
      <w:r w:rsidR="008704A4">
        <w:rPr>
          <w:rFonts w:ascii="Verdana" w:hAnsi="Verdana"/>
          <w:sz w:val="20"/>
        </w:rPr>
        <w:t>out</w:t>
      </w:r>
      <w:r w:rsidR="004F0841">
        <w:rPr>
          <w:rFonts w:ascii="Verdana" w:hAnsi="Verdana"/>
          <w:sz w:val="20"/>
        </w:rPr>
        <w:t xml:space="preserve"> </w:t>
      </w:r>
      <w:r w:rsidR="004F0841" w:rsidRPr="00543DE5">
        <w:rPr>
          <w:rFonts w:ascii="Verdana" w:hAnsi="Verdana"/>
          <w:sz w:val="20"/>
        </w:rPr>
        <w:t xml:space="preserve">sound basis.  </w:t>
      </w:r>
    </w:p>
    <w:p w14:paraId="232AB41E" w14:textId="77777777" w:rsidR="004F0841" w:rsidRDefault="007B35BB" w:rsidP="00683A55">
      <w:pPr>
        <w:numPr>
          <w:ilvl w:val="0"/>
          <w:numId w:val="1"/>
        </w:numPr>
        <w:spacing w:before="120" w:after="120" w:line="312" w:lineRule="auto"/>
        <w:rPr>
          <w:rFonts w:ascii="Verdana" w:hAnsi="Verdana"/>
          <w:sz w:val="20"/>
        </w:rPr>
      </w:pPr>
      <w:r>
        <w:rPr>
          <w:rFonts w:ascii="Verdana" w:hAnsi="Verdana"/>
          <w:sz w:val="20"/>
        </w:rPr>
        <w:t>In our view, i</w:t>
      </w:r>
      <w:r w:rsidR="004F0841">
        <w:rPr>
          <w:rFonts w:ascii="Verdana" w:hAnsi="Verdana"/>
          <w:sz w:val="20"/>
        </w:rPr>
        <w:t xml:space="preserve">t is </w:t>
      </w:r>
      <w:r>
        <w:rPr>
          <w:rFonts w:ascii="Verdana" w:hAnsi="Verdana"/>
          <w:sz w:val="20"/>
        </w:rPr>
        <w:t>particularly inappropriate for the Commission to</w:t>
      </w:r>
      <w:r w:rsidR="004F0841" w:rsidRPr="00D534DA">
        <w:rPr>
          <w:rFonts w:ascii="Verdana" w:hAnsi="Verdana"/>
          <w:sz w:val="20"/>
        </w:rPr>
        <w:t xml:space="preserve"> depart from its decision on the WACC IM</w:t>
      </w:r>
      <w:r w:rsidR="004452E9">
        <w:rPr>
          <w:rFonts w:ascii="Verdana" w:hAnsi="Verdana"/>
          <w:sz w:val="20"/>
        </w:rPr>
        <w:t>s</w:t>
      </w:r>
      <w:r w:rsidR="004F0841" w:rsidRPr="00D534DA">
        <w:rPr>
          <w:rFonts w:ascii="Verdana" w:hAnsi="Verdana"/>
          <w:sz w:val="20"/>
        </w:rPr>
        <w:t xml:space="preserve"> in circumstances where the process that led to the IM</w:t>
      </w:r>
      <w:r w:rsidR="004452E9">
        <w:rPr>
          <w:rFonts w:ascii="Verdana" w:hAnsi="Verdana"/>
          <w:sz w:val="20"/>
        </w:rPr>
        <w:t>s</w:t>
      </w:r>
      <w:r w:rsidR="004F0841" w:rsidRPr="00D534DA">
        <w:rPr>
          <w:rFonts w:ascii="Verdana" w:hAnsi="Verdana"/>
          <w:sz w:val="20"/>
        </w:rPr>
        <w:t xml:space="preserve"> in question was lengthy, considered, and made heavy use of expert conferences and evidence.  </w:t>
      </w:r>
    </w:p>
    <w:p w14:paraId="384C9793" w14:textId="77777777" w:rsidR="00D534DA" w:rsidRPr="00551048" w:rsidRDefault="004F0841" w:rsidP="00683A55">
      <w:pPr>
        <w:numPr>
          <w:ilvl w:val="0"/>
          <w:numId w:val="1"/>
        </w:numPr>
        <w:tabs>
          <w:tab w:val="num" w:pos="1134"/>
        </w:tabs>
        <w:spacing w:before="120" w:after="120" w:line="312" w:lineRule="auto"/>
        <w:rPr>
          <w:rFonts w:ascii="Verdana" w:hAnsi="Verdana"/>
          <w:sz w:val="20"/>
        </w:rPr>
      </w:pPr>
      <w:r w:rsidRPr="00551048">
        <w:rPr>
          <w:rFonts w:ascii="Verdana" w:hAnsi="Verdana"/>
          <w:sz w:val="20"/>
        </w:rPr>
        <w:t xml:space="preserve">The Commission process update paper, and earlier consultation paper, gives the impression </w:t>
      </w:r>
      <w:r w:rsidR="008704A4" w:rsidRPr="00551048">
        <w:rPr>
          <w:rFonts w:ascii="Verdana" w:hAnsi="Verdana"/>
          <w:sz w:val="20"/>
        </w:rPr>
        <w:t>that the Commission</w:t>
      </w:r>
      <w:r w:rsidRPr="00551048">
        <w:rPr>
          <w:rFonts w:ascii="Verdana" w:hAnsi="Verdana"/>
          <w:sz w:val="20"/>
        </w:rPr>
        <w:t xml:space="preserve"> is distancing itself from its reasoning </w:t>
      </w:r>
      <w:r w:rsidR="00551048" w:rsidRPr="00551048">
        <w:rPr>
          <w:rFonts w:ascii="Verdana" w:hAnsi="Verdana"/>
          <w:sz w:val="20"/>
        </w:rPr>
        <w:t xml:space="preserve">in support of the </w:t>
      </w:r>
      <w:r w:rsidRPr="00551048">
        <w:rPr>
          <w:rFonts w:ascii="Verdana" w:hAnsi="Verdana"/>
          <w:sz w:val="20"/>
        </w:rPr>
        <w:t>current IM</w:t>
      </w:r>
      <w:r w:rsidR="004452E9">
        <w:rPr>
          <w:rFonts w:ascii="Verdana" w:hAnsi="Verdana"/>
          <w:sz w:val="20"/>
        </w:rPr>
        <w:t>s</w:t>
      </w:r>
      <w:r w:rsidRPr="00551048">
        <w:rPr>
          <w:rFonts w:ascii="Verdana" w:hAnsi="Verdana"/>
          <w:sz w:val="20"/>
        </w:rPr>
        <w:t xml:space="preserve"> and</w:t>
      </w:r>
      <w:r w:rsidR="004B0142">
        <w:rPr>
          <w:rFonts w:ascii="Verdana" w:hAnsi="Verdana"/>
          <w:sz w:val="20"/>
        </w:rPr>
        <w:t xml:space="preserve"> is</w:t>
      </w:r>
      <w:r w:rsidRPr="00551048">
        <w:rPr>
          <w:rFonts w:ascii="Verdana" w:hAnsi="Verdana"/>
          <w:sz w:val="20"/>
        </w:rPr>
        <w:t xml:space="preserve"> in effect starting</w:t>
      </w:r>
      <w:r w:rsidR="00F70536">
        <w:rPr>
          <w:rFonts w:ascii="Verdana" w:hAnsi="Verdana"/>
          <w:sz w:val="20"/>
        </w:rPr>
        <w:t xml:space="preserve"> afresh</w:t>
      </w:r>
      <w:r w:rsidR="00EA129F">
        <w:rPr>
          <w:rFonts w:ascii="Verdana" w:hAnsi="Verdana"/>
          <w:sz w:val="20"/>
        </w:rPr>
        <w:t>,</w:t>
      </w:r>
      <w:r w:rsidR="00EA129F" w:rsidRPr="00EA129F">
        <w:rPr>
          <w:rFonts w:ascii="Verdana" w:hAnsi="Verdana"/>
          <w:sz w:val="20"/>
        </w:rPr>
        <w:t xml:space="preserve"> </w:t>
      </w:r>
      <w:r w:rsidR="00EA129F" w:rsidRPr="00551048">
        <w:rPr>
          <w:rFonts w:ascii="Verdana" w:hAnsi="Verdana"/>
          <w:sz w:val="20"/>
        </w:rPr>
        <w:t xml:space="preserve">before any </w:t>
      </w:r>
      <w:r w:rsidR="00EA129F">
        <w:rPr>
          <w:rFonts w:ascii="Verdana" w:hAnsi="Verdana"/>
          <w:sz w:val="20"/>
        </w:rPr>
        <w:t xml:space="preserve">clear </w:t>
      </w:r>
      <w:r w:rsidR="00EA129F" w:rsidRPr="00551048">
        <w:rPr>
          <w:rFonts w:ascii="Verdana" w:hAnsi="Verdana"/>
          <w:sz w:val="20"/>
        </w:rPr>
        <w:t xml:space="preserve">contrary evidence has been </w:t>
      </w:r>
      <w:r w:rsidR="00EA129F">
        <w:rPr>
          <w:rFonts w:ascii="Verdana" w:hAnsi="Verdana"/>
          <w:sz w:val="20"/>
        </w:rPr>
        <w:t xml:space="preserve">provided or </w:t>
      </w:r>
      <w:r w:rsidR="00EA129F" w:rsidRPr="00551048">
        <w:rPr>
          <w:rFonts w:ascii="Verdana" w:hAnsi="Verdana"/>
          <w:sz w:val="20"/>
        </w:rPr>
        <w:t>considered</w:t>
      </w:r>
      <w:r w:rsidR="00551048" w:rsidRPr="00551048">
        <w:rPr>
          <w:rFonts w:ascii="Verdana" w:hAnsi="Verdana"/>
          <w:sz w:val="20"/>
        </w:rPr>
        <w:t>.</w:t>
      </w:r>
      <w:r w:rsidR="00F70536">
        <w:rPr>
          <w:rStyle w:val="FootnoteReference"/>
          <w:rFonts w:ascii="Verdana" w:hAnsi="Verdana"/>
          <w:sz w:val="20"/>
        </w:rPr>
        <w:footnoteReference w:id="24"/>
      </w:r>
      <w:r w:rsidR="00551048" w:rsidRPr="00551048">
        <w:rPr>
          <w:rFonts w:ascii="Verdana" w:hAnsi="Verdana"/>
          <w:sz w:val="20"/>
        </w:rPr>
        <w:t xml:space="preserve">  This raises concerns about the Commission's</w:t>
      </w:r>
      <w:r w:rsidRPr="00551048">
        <w:rPr>
          <w:rFonts w:ascii="Verdana" w:hAnsi="Verdana"/>
          <w:sz w:val="20"/>
        </w:rPr>
        <w:t xml:space="preserve"> commit</w:t>
      </w:r>
      <w:r w:rsidR="00551048" w:rsidRPr="00551048">
        <w:rPr>
          <w:rFonts w:ascii="Verdana" w:hAnsi="Verdana"/>
          <w:sz w:val="20"/>
        </w:rPr>
        <w:t>ment to</w:t>
      </w:r>
      <w:r w:rsidRPr="00551048">
        <w:rPr>
          <w:rFonts w:ascii="Verdana" w:hAnsi="Verdana"/>
          <w:sz w:val="20"/>
        </w:rPr>
        <w:t xml:space="preserve"> </w:t>
      </w:r>
      <w:r w:rsidR="008A2EFE">
        <w:rPr>
          <w:rFonts w:ascii="Verdana" w:hAnsi="Verdana"/>
          <w:sz w:val="20"/>
        </w:rPr>
        <w:t>its previous approach</w:t>
      </w:r>
      <w:r w:rsidR="00EA129F">
        <w:rPr>
          <w:rFonts w:ascii="Verdana" w:hAnsi="Verdana"/>
          <w:sz w:val="20"/>
        </w:rPr>
        <w:t>es across all IMs, not just</w:t>
      </w:r>
      <w:r w:rsidR="008A2EFE">
        <w:rPr>
          <w:rFonts w:ascii="Verdana" w:hAnsi="Verdana"/>
          <w:sz w:val="20"/>
        </w:rPr>
        <w:t xml:space="preserve"> the 75</w:t>
      </w:r>
      <w:r w:rsidR="008A2EFE" w:rsidRPr="008A2EFE">
        <w:rPr>
          <w:rFonts w:ascii="Verdana" w:hAnsi="Verdana"/>
          <w:sz w:val="20"/>
          <w:vertAlign w:val="superscript"/>
        </w:rPr>
        <w:t>th</w:t>
      </w:r>
      <w:r w:rsidR="008A2EFE">
        <w:rPr>
          <w:rFonts w:ascii="Verdana" w:hAnsi="Verdana"/>
          <w:sz w:val="20"/>
        </w:rPr>
        <w:t xml:space="preserve"> percentile</w:t>
      </w:r>
      <w:r w:rsidR="00ED2B2C">
        <w:rPr>
          <w:rFonts w:ascii="Verdana" w:hAnsi="Verdana"/>
          <w:sz w:val="20"/>
        </w:rPr>
        <w:t xml:space="preserve">.  </w:t>
      </w:r>
      <w:r w:rsidR="009153EC">
        <w:rPr>
          <w:rFonts w:ascii="Verdana" w:hAnsi="Verdana"/>
          <w:sz w:val="20"/>
        </w:rPr>
        <w:t xml:space="preserve">Vector </w:t>
      </w:r>
      <w:r w:rsidR="00F70536">
        <w:rPr>
          <w:rFonts w:ascii="Verdana" w:hAnsi="Verdana"/>
          <w:sz w:val="20"/>
        </w:rPr>
        <w:t>emphasise</w:t>
      </w:r>
      <w:r w:rsidR="009153EC">
        <w:rPr>
          <w:rFonts w:ascii="Verdana" w:hAnsi="Verdana"/>
          <w:sz w:val="20"/>
        </w:rPr>
        <w:t>s</w:t>
      </w:r>
      <w:r w:rsidR="00F70536">
        <w:rPr>
          <w:rFonts w:ascii="Verdana" w:hAnsi="Verdana"/>
          <w:sz w:val="20"/>
        </w:rPr>
        <w:t xml:space="preserve"> here that the </w:t>
      </w:r>
      <w:r w:rsidR="00ED2B2C">
        <w:rPr>
          <w:rFonts w:ascii="Verdana" w:hAnsi="Verdana"/>
          <w:sz w:val="20"/>
        </w:rPr>
        <w:t xml:space="preserve">Court itself </w:t>
      </w:r>
      <w:r w:rsidR="00F70536">
        <w:rPr>
          <w:rFonts w:ascii="Verdana" w:hAnsi="Verdana"/>
          <w:sz w:val="20"/>
        </w:rPr>
        <w:t xml:space="preserve">observed that its </w:t>
      </w:r>
      <w:r w:rsidR="00D534DA" w:rsidRPr="00551048">
        <w:rPr>
          <w:rFonts w:ascii="Verdana" w:hAnsi="Verdana"/>
          <w:i/>
          <w:sz w:val="20"/>
        </w:rPr>
        <w:t xml:space="preserve">obiter </w:t>
      </w:r>
      <w:r w:rsidR="00ED2B2C">
        <w:rPr>
          <w:rFonts w:ascii="Verdana" w:hAnsi="Verdana"/>
          <w:sz w:val="20"/>
        </w:rPr>
        <w:t>comments - ostensibly the Commission's reasons for initiating the current consultation - were without evidential basis</w:t>
      </w:r>
      <w:r w:rsidR="00D437D5" w:rsidRPr="00D534DA">
        <w:rPr>
          <w:rFonts w:ascii="Verdana" w:hAnsi="Verdana"/>
          <w:sz w:val="20"/>
        </w:rPr>
        <w:t>.</w:t>
      </w:r>
      <w:r w:rsidR="00D437D5" w:rsidRPr="00D534DA">
        <w:rPr>
          <w:rStyle w:val="FootnoteReference"/>
          <w:rFonts w:ascii="Verdana" w:hAnsi="Verdana"/>
          <w:sz w:val="20"/>
        </w:rPr>
        <w:footnoteReference w:id="25"/>
      </w:r>
    </w:p>
    <w:p w14:paraId="6D5FB07A" w14:textId="77777777" w:rsidR="00D534DA" w:rsidRPr="009140AC" w:rsidRDefault="008A2EFE" w:rsidP="00683A55">
      <w:pPr>
        <w:numPr>
          <w:ilvl w:val="0"/>
          <w:numId w:val="1"/>
        </w:numPr>
        <w:spacing w:before="120" w:after="120" w:line="312" w:lineRule="auto"/>
        <w:rPr>
          <w:rFonts w:ascii="Verdana" w:hAnsi="Verdana"/>
          <w:sz w:val="20"/>
        </w:rPr>
      </w:pPr>
      <w:r w:rsidRPr="009140AC">
        <w:rPr>
          <w:rFonts w:ascii="Verdana" w:hAnsi="Verdana"/>
          <w:sz w:val="20"/>
        </w:rPr>
        <w:t>In relation to the appropriate starting point, the Commission</w:t>
      </w:r>
      <w:r w:rsidR="00406F31">
        <w:rPr>
          <w:rFonts w:ascii="Verdana" w:hAnsi="Verdana"/>
          <w:sz w:val="20"/>
        </w:rPr>
        <w:t>'s</w:t>
      </w:r>
      <w:r w:rsidRPr="009140AC">
        <w:rPr>
          <w:rFonts w:ascii="Verdana" w:hAnsi="Verdana"/>
          <w:sz w:val="20"/>
        </w:rPr>
        <w:t xml:space="preserve"> reasoning in support of the 75</w:t>
      </w:r>
      <w:r w:rsidRPr="009140AC">
        <w:rPr>
          <w:rFonts w:ascii="Verdana" w:hAnsi="Verdana"/>
          <w:sz w:val="20"/>
          <w:vertAlign w:val="superscript"/>
        </w:rPr>
        <w:t>th</w:t>
      </w:r>
      <w:r w:rsidRPr="009140AC">
        <w:rPr>
          <w:rFonts w:ascii="Verdana" w:hAnsi="Verdana"/>
          <w:sz w:val="20"/>
        </w:rPr>
        <w:t xml:space="preserve"> percentile is outlined above</w:t>
      </w:r>
      <w:r w:rsidR="007561D9" w:rsidRPr="009140AC">
        <w:rPr>
          <w:rFonts w:ascii="Verdana" w:hAnsi="Verdana"/>
          <w:sz w:val="20"/>
        </w:rPr>
        <w:t xml:space="preserve">.  This is the reasoning and position that should be maintained in the absence of factual evidence that a lower percentile is required.  </w:t>
      </w:r>
      <w:r w:rsidR="009153EC">
        <w:rPr>
          <w:rFonts w:ascii="Verdana" w:hAnsi="Verdana"/>
          <w:sz w:val="20"/>
        </w:rPr>
        <w:t>Vector</w:t>
      </w:r>
      <w:r w:rsidR="009153EC" w:rsidRPr="009140AC">
        <w:rPr>
          <w:rFonts w:ascii="Verdana" w:hAnsi="Verdana"/>
          <w:sz w:val="20"/>
        </w:rPr>
        <w:t xml:space="preserve"> </w:t>
      </w:r>
      <w:r w:rsidR="00463323" w:rsidRPr="009140AC">
        <w:rPr>
          <w:rFonts w:ascii="Verdana" w:hAnsi="Verdana"/>
          <w:sz w:val="20"/>
        </w:rPr>
        <w:t>note</w:t>
      </w:r>
      <w:r w:rsidR="009153EC">
        <w:rPr>
          <w:rFonts w:ascii="Verdana" w:hAnsi="Verdana"/>
          <w:sz w:val="20"/>
        </w:rPr>
        <w:t>s</w:t>
      </w:r>
      <w:r w:rsidR="00463323" w:rsidRPr="009140AC">
        <w:rPr>
          <w:rFonts w:ascii="Verdana" w:hAnsi="Verdana"/>
          <w:sz w:val="20"/>
        </w:rPr>
        <w:t xml:space="preserve"> that no evidence </w:t>
      </w:r>
      <w:r w:rsidR="00463323">
        <w:rPr>
          <w:rFonts w:ascii="Verdana" w:hAnsi="Verdana"/>
          <w:sz w:val="20"/>
        </w:rPr>
        <w:t xml:space="preserve">has been provided </w:t>
      </w:r>
      <w:r w:rsidR="00463323" w:rsidRPr="009140AC">
        <w:rPr>
          <w:rFonts w:ascii="Verdana" w:hAnsi="Verdana"/>
          <w:sz w:val="20"/>
        </w:rPr>
        <w:t xml:space="preserve">which would justify the Commission abandoning its existing regulatory position.  </w:t>
      </w:r>
      <w:r w:rsidR="007561D9" w:rsidRPr="009140AC">
        <w:rPr>
          <w:rFonts w:ascii="Verdana" w:hAnsi="Verdana"/>
          <w:sz w:val="20"/>
        </w:rPr>
        <w:t xml:space="preserve">That is, the Commission should not </w:t>
      </w:r>
      <w:r w:rsidR="00366042">
        <w:rPr>
          <w:rFonts w:ascii="Verdana" w:hAnsi="Verdana"/>
          <w:sz w:val="20"/>
        </w:rPr>
        <w:t xml:space="preserve">now </w:t>
      </w:r>
      <w:r w:rsidR="007561D9" w:rsidRPr="009140AC">
        <w:rPr>
          <w:rFonts w:ascii="Verdana" w:hAnsi="Verdana"/>
          <w:sz w:val="20"/>
        </w:rPr>
        <w:t>start from a position that the 50</w:t>
      </w:r>
      <w:r w:rsidR="007561D9" w:rsidRPr="009140AC">
        <w:rPr>
          <w:rFonts w:ascii="Verdana" w:hAnsi="Verdana"/>
          <w:sz w:val="20"/>
          <w:vertAlign w:val="superscript"/>
        </w:rPr>
        <w:t>th</w:t>
      </w:r>
      <w:r w:rsidR="007561D9" w:rsidRPr="009140AC">
        <w:rPr>
          <w:rFonts w:ascii="Verdana" w:hAnsi="Verdana"/>
          <w:sz w:val="20"/>
        </w:rPr>
        <w:t xml:space="preserve"> percentile is the appropriate</w:t>
      </w:r>
      <w:r w:rsidR="00463323">
        <w:rPr>
          <w:rFonts w:ascii="Verdana" w:hAnsi="Verdana"/>
          <w:sz w:val="20"/>
        </w:rPr>
        <w:t xml:space="preserve"> percentile</w:t>
      </w:r>
      <w:r w:rsidR="00EA129F">
        <w:rPr>
          <w:rFonts w:ascii="Verdana" w:hAnsi="Verdana"/>
          <w:sz w:val="20"/>
        </w:rPr>
        <w:t xml:space="preserve"> unless evidence is provided otherwise.  Instead the Commission should start from a position that the 75</w:t>
      </w:r>
      <w:r w:rsidR="00B23163" w:rsidRPr="00B23163">
        <w:rPr>
          <w:rFonts w:ascii="Verdana" w:hAnsi="Verdana"/>
          <w:sz w:val="20"/>
          <w:vertAlign w:val="superscript"/>
        </w:rPr>
        <w:t>th</w:t>
      </w:r>
      <w:r w:rsidR="00EA129F">
        <w:rPr>
          <w:rFonts w:ascii="Verdana" w:hAnsi="Verdana"/>
          <w:sz w:val="20"/>
        </w:rPr>
        <w:t xml:space="preserve"> percentile is appropriate unless robust evidence is provided to demonstrate that a different percentile (higher or lower) is more appropriate</w:t>
      </w:r>
      <w:r w:rsidR="007561D9" w:rsidRPr="009140AC">
        <w:rPr>
          <w:rFonts w:ascii="Verdana" w:hAnsi="Verdana"/>
          <w:sz w:val="20"/>
        </w:rPr>
        <w:t xml:space="preserve">.  </w:t>
      </w:r>
    </w:p>
    <w:p w14:paraId="0B021C81" w14:textId="38948709" w:rsidR="000B0BE0" w:rsidRDefault="00D534DA" w:rsidP="00A678F4">
      <w:pPr>
        <w:pStyle w:val="Heading1"/>
        <w:spacing w:after="240" w:line="240" w:lineRule="auto"/>
        <w:rPr>
          <w:rFonts w:ascii="Verdana" w:hAnsi="Verdana"/>
          <w:sz w:val="20"/>
        </w:rPr>
      </w:pPr>
      <w:r w:rsidRPr="00973641">
        <w:rPr>
          <w:rFonts w:ascii="Verdana" w:hAnsi="Verdana"/>
          <w:sz w:val="20"/>
          <w:szCs w:val="20"/>
        </w:rPr>
        <w:t xml:space="preserve"> </w:t>
      </w:r>
      <w:bookmarkStart w:id="25" w:name="_Toc387068646"/>
      <w:r w:rsidR="009140AC">
        <w:rPr>
          <w:rFonts w:ascii="Verdana" w:hAnsi="Verdana"/>
          <w:sz w:val="20"/>
        </w:rPr>
        <w:t xml:space="preserve">Process </w:t>
      </w:r>
      <w:r w:rsidR="000B0BE0">
        <w:rPr>
          <w:rFonts w:ascii="Verdana" w:hAnsi="Verdana"/>
          <w:sz w:val="20"/>
        </w:rPr>
        <w:t>insufficiently robust</w:t>
      </w:r>
      <w:bookmarkEnd w:id="25"/>
    </w:p>
    <w:p w14:paraId="6B0C2ECB" w14:textId="77777777" w:rsidR="008565E0" w:rsidRPr="00812D64" w:rsidRDefault="000B0BE0" w:rsidP="00683A55">
      <w:pPr>
        <w:numPr>
          <w:ilvl w:val="0"/>
          <w:numId w:val="1"/>
        </w:numPr>
        <w:spacing w:before="120" w:after="120" w:line="312" w:lineRule="auto"/>
        <w:rPr>
          <w:rFonts w:ascii="Verdana" w:hAnsi="Verdana"/>
          <w:sz w:val="20"/>
        </w:rPr>
      </w:pPr>
      <w:r w:rsidRPr="00812D64">
        <w:rPr>
          <w:rFonts w:ascii="Verdana" w:hAnsi="Verdana"/>
          <w:sz w:val="20"/>
        </w:rPr>
        <w:t>Finally, Vector reiterates its concerns about the robustness of the</w:t>
      </w:r>
      <w:r w:rsidR="00406F31">
        <w:rPr>
          <w:rFonts w:ascii="Verdana" w:hAnsi="Verdana"/>
          <w:sz w:val="20"/>
        </w:rPr>
        <w:t xml:space="preserve"> current</w:t>
      </w:r>
      <w:r w:rsidRPr="00812D64">
        <w:rPr>
          <w:rFonts w:ascii="Verdana" w:hAnsi="Verdana"/>
          <w:sz w:val="20"/>
        </w:rPr>
        <w:t xml:space="preserve"> process being run by the Commission.</w:t>
      </w:r>
      <w:r w:rsidR="009140AC" w:rsidRPr="00812D64">
        <w:rPr>
          <w:rFonts w:ascii="Verdana" w:hAnsi="Verdana"/>
          <w:sz w:val="20"/>
        </w:rPr>
        <w:t xml:space="preserve">  This is a position that has been raised by a number of sub</w:t>
      </w:r>
      <w:bookmarkStart w:id="26" w:name="_GoBack"/>
      <w:bookmarkEnd w:id="26"/>
      <w:r w:rsidR="009140AC" w:rsidRPr="00812D64">
        <w:rPr>
          <w:rFonts w:ascii="Verdana" w:hAnsi="Verdana"/>
          <w:sz w:val="20"/>
        </w:rPr>
        <w:t>mitters, including MDL (who the Commission relies on in support of its truncated approach).  Th</w:t>
      </w:r>
      <w:r w:rsidR="00371071">
        <w:rPr>
          <w:rFonts w:ascii="Verdana" w:hAnsi="Verdana"/>
          <w:sz w:val="20"/>
        </w:rPr>
        <w:t>ese</w:t>
      </w:r>
      <w:r w:rsidR="009140AC" w:rsidRPr="00812D64">
        <w:rPr>
          <w:rFonts w:ascii="Verdana" w:hAnsi="Verdana"/>
          <w:sz w:val="20"/>
        </w:rPr>
        <w:t xml:space="preserve"> concerns have also been outlined</w:t>
      </w:r>
      <w:r w:rsidR="00FD5A04">
        <w:rPr>
          <w:rFonts w:ascii="Verdana" w:hAnsi="Verdana"/>
          <w:sz w:val="20"/>
        </w:rPr>
        <w:t xml:space="preserve"> in a recent letter from the Electricity Network</w:t>
      </w:r>
      <w:r w:rsidR="00406F31">
        <w:rPr>
          <w:rFonts w:ascii="Verdana" w:hAnsi="Verdana"/>
          <w:sz w:val="20"/>
        </w:rPr>
        <w:t>s</w:t>
      </w:r>
      <w:r w:rsidR="00FD5A04">
        <w:rPr>
          <w:rFonts w:ascii="Verdana" w:hAnsi="Verdana"/>
          <w:sz w:val="20"/>
        </w:rPr>
        <w:t xml:space="preserve"> Association to the Commission</w:t>
      </w:r>
      <w:r w:rsidR="009D73DB">
        <w:rPr>
          <w:rFonts w:ascii="Verdana" w:hAnsi="Verdana"/>
          <w:sz w:val="20"/>
        </w:rPr>
        <w:t xml:space="preserve"> sent on 2 April 2014.</w:t>
      </w:r>
      <w:r w:rsidRPr="00812D64">
        <w:rPr>
          <w:rFonts w:ascii="Verdana" w:hAnsi="Verdana"/>
          <w:sz w:val="20"/>
        </w:rPr>
        <w:t xml:space="preserve"> </w:t>
      </w:r>
    </w:p>
    <w:p w14:paraId="4D6C08D9" w14:textId="77777777" w:rsidR="008565E0" w:rsidRPr="00D534DA" w:rsidRDefault="008565E0" w:rsidP="00683A55">
      <w:pPr>
        <w:numPr>
          <w:ilvl w:val="0"/>
          <w:numId w:val="1"/>
        </w:numPr>
        <w:spacing w:before="120" w:after="120" w:line="312" w:lineRule="auto"/>
        <w:rPr>
          <w:rFonts w:ascii="Verdana" w:hAnsi="Verdana"/>
          <w:sz w:val="20"/>
        </w:rPr>
      </w:pPr>
      <w:r w:rsidRPr="00812D64">
        <w:rPr>
          <w:rFonts w:ascii="Verdana" w:hAnsi="Verdana"/>
          <w:sz w:val="20"/>
        </w:rPr>
        <w:lastRenderedPageBreak/>
        <w:t>As stated in Vector's 13 March 2014 submission on this consultation, in addition to creating uncertainty, the Commission's proposed "short-form" consultation risks a poor quality decision because:</w:t>
      </w:r>
    </w:p>
    <w:p w14:paraId="449C4446" w14:textId="77777777" w:rsidR="008565E0" w:rsidRPr="00D534DA" w:rsidRDefault="008565E0" w:rsidP="00683A55">
      <w:pPr>
        <w:numPr>
          <w:ilvl w:val="1"/>
          <w:numId w:val="1"/>
        </w:numPr>
        <w:tabs>
          <w:tab w:val="clear" w:pos="328"/>
          <w:tab w:val="num" w:pos="1134"/>
        </w:tabs>
        <w:spacing w:before="120" w:after="120" w:line="312" w:lineRule="auto"/>
        <w:ind w:left="1134" w:hanging="425"/>
        <w:rPr>
          <w:rFonts w:ascii="Verdana" w:hAnsi="Verdana"/>
          <w:sz w:val="20"/>
        </w:rPr>
      </w:pPr>
      <w:r w:rsidRPr="00D534DA">
        <w:rPr>
          <w:rFonts w:ascii="Verdana" w:hAnsi="Verdana"/>
          <w:sz w:val="20"/>
        </w:rPr>
        <w:t>considering the WACC percentile in isolation ignores critical interdependencies</w:t>
      </w:r>
      <w:r w:rsidR="00FD47CF">
        <w:rPr>
          <w:rFonts w:ascii="Verdana" w:hAnsi="Verdana"/>
          <w:sz w:val="20"/>
        </w:rPr>
        <w:t xml:space="preserve"> </w:t>
      </w:r>
      <w:r w:rsidR="00FD47CF" w:rsidRPr="00961CAE">
        <w:rPr>
          <w:rFonts w:ascii="Verdana" w:hAnsi="Verdana"/>
          <w:sz w:val="20"/>
        </w:rPr>
        <w:t>with the other elements of the WACC calculation and the broader re</w:t>
      </w:r>
      <w:r w:rsidR="00FD47CF">
        <w:rPr>
          <w:rFonts w:ascii="Verdana" w:hAnsi="Verdana"/>
          <w:sz w:val="20"/>
        </w:rPr>
        <w:t>gulatory and market environment</w:t>
      </w:r>
      <w:r w:rsidRPr="00D534DA">
        <w:rPr>
          <w:rFonts w:ascii="Verdana" w:hAnsi="Verdana"/>
          <w:sz w:val="20"/>
        </w:rPr>
        <w:t>; and</w:t>
      </w:r>
    </w:p>
    <w:p w14:paraId="39F40A4C" w14:textId="2A568734" w:rsidR="008565E0" w:rsidRPr="00D534DA" w:rsidRDefault="00FD47CF" w:rsidP="00683A55">
      <w:pPr>
        <w:numPr>
          <w:ilvl w:val="1"/>
          <w:numId w:val="1"/>
        </w:numPr>
        <w:tabs>
          <w:tab w:val="clear" w:pos="328"/>
          <w:tab w:val="num" w:pos="1134"/>
        </w:tabs>
        <w:spacing w:before="120" w:after="120" w:line="312" w:lineRule="auto"/>
        <w:ind w:left="1134" w:hanging="425"/>
        <w:rPr>
          <w:rFonts w:ascii="Verdana" w:hAnsi="Verdana"/>
          <w:sz w:val="20"/>
        </w:rPr>
      </w:pPr>
      <w:proofErr w:type="gramStart"/>
      <w:r>
        <w:rPr>
          <w:rFonts w:ascii="Verdana" w:hAnsi="Verdana"/>
          <w:sz w:val="20"/>
        </w:rPr>
        <w:t>even</w:t>
      </w:r>
      <w:proofErr w:type="gramEnd"/>
      <w:r>
        <w:rPr>
          <w:rFonts w:ascii="Verdana" w:hAnsi="Verdana"/>
          <w:sz w:val="20"/>
        </w:rPr>
        <w:t xml:space="preserve"> if the appropriate percentile is considered in isolation from other aspects of the WACC</w:t>
      </w:r>
      <w:r w:rsidR="0022629A">
        <w:rPr>
          <w:rFonts w:ascii="Verdana" w:hAnsi="Verdana"/>
          <w:sz w:val="20"/>
        </w:rPr>
        <w:t>, the</w:t>
      </w:r>
      <w:r w:rsidR="008565E0" w:rsidRPr="00D534DA">
        <w:rPr>
          <w:rFonts w:ascii="Verdana" w:hAnsi="Verdana"/>
          <w:sz w:val="20"/>
        </w:rPr>
        <w:t xml:space="preserve"> time frame is too short to allow for a robust process where all relevant evidence </w:t>
      </w:r>
      <w:r w:rsidR="00406F31">
        <w:rPr>
          <w:rFonts w:ascii="Verdana" w:hAnsi="Verdana"/>
          <w:sz w:val="20"/>
        </w:rPr>
        <w:t>can be</w:t>
      </w:r>
      <w:r w:rsidR="00406F31" w:rsidRPr="00D534DA">
        <w:rPr>
          <w:rFonts w:ascii="Verdana" w:hAnsi="Verdana"/>
          <w:sz w:val="20"/>
        </w:rPr>
        <w:t xml:space="preserve"> </w:t>
      </w:r>
      <w:r w:rsidR="008565E0" w:rsidRPr="00D534DA">
        <w:rPr>
          <w:rFonts w:ascii="Verdana" w:hAnsi="Verdana"/>
          <w:sz w:val="20"/>
        </w:rPr>
        <w:t>fully considered.</w:t>
      </w:r>
    </w:p>
    <w:p w14:paraId="623BC96B" w14:textId="77777777" w:rsidR="003F1E18" w:rsidRPr="003E709A" w:rsidRDefault="003F1E18" w:rsidP="003F1E18">
      <w:pPr>
        <w:numPr>
          <w:ilvl w:val="0"/>
          <w:numId w:val="1"/>
        </w:numPr>
        <w:spacing w:before="120" w:after="120" w:line="312" w:lineRule="auto"/>
        <w:rPr>
          <w:rFonts w:ascii="Verdana" w:hAnsi="Verdana"/>
          <w:sz w:val="20"/>
        </w:rPr>
      </w:pPr>
      <w:r w:rsidRPr="003E709A">
        <w:rPr>
          <w:rFonts w:ascii="Verdana" w:hAnsi="Verdana"/>
          <w:sz w:val="20"/>
        </w:rPr>
        <w:t>With regard</w:t>
      </w:r>
      <w:r w:rsidR="00406F31">
        <w:rPr>
          <w:rFonts w:ascii="Verdana" w:hAnsi="Verdana"/>
          <w:sz w:val="20"/>
        </w:rPr>
        <w:t>s</w:t>
      </w:r>
      <w:r w:rsidRPr="003E709A">
        <w:rPr>
          <w:rFonts w:ascii="Verdana" w:hAnsi="Verdana"/>
          <w:sz w:val="20"/>
        </w:rPr>
        <w:t xml:space="preserve"> to </w:t>
      </w:r>
      <w:r w:rsidR="00406F31">
        <w:rPr>
          <w:rFonts w:ascii="Verdana" w:hAnsi="Verdana"/>
          <w:sz w:val="20"/>
        </w:rPr>
        <w:t xml:space="preserve">the </w:t>
      </w:r>
      <w:r w:rsidRPr="003E709A">
        <w:rPr>
          <w:rFonts w:ascii="Verdana" w:hAnsi="Verdana"/>
          <w:sz w:val="20"/>
        </w:rPr>
        <w:t xml:space="preserve">process and time frames </w:t>
      </w:r>
      <w:r>
        <w:rPr>
          <w:rFonts w:ascii="Verdana" w:hAnsi="Verdana"/>
          <w:sz w:val="20"/>
        </w:rPr>
        <w:t>set out for the current consultation</w:t>
      </w:r>
      <w:r w:rsidR="00406F31">
        <w:rPr>
          <w:rFonts w:ascii="Verdana" w:hAnsi="Verdana"/>
          <w:sz w:val="20"/>
        </w:rPr>
        <w:t>,</w:t>
      </w:r>
      <w:r>
        <w:rPr>
          <w:rFonts w:ascii="Verdana" w:hAnsi="Verdana"/>
          <w:sz w:val="20"/>
        </w:rPr>
        <w:t xml:space="preserve"> </w:t>
      </w:r>
      <w:r w:rsidRPr="003E709A">
        <w:rPr>
          <w:rFonts w:ascii="Verdana" w:hAnsi="Verdana"/>
          <w:sz w:val="20"/>
        </w:rPr>
        <w:t>o</w:t>
      </w:r>
      <w:r>
        <w:rPr>
          <w:rFonts w:ascii="Verdana" w:hAnsi="Verdana"/>
          <w:sz w:val="20"/>
        </w:rPr>
        <w:t>ur particular concerns include</w:t>
      </w:r>
      <w:r w:rsidR="00406F31">
        <w:rPr>
          <w:rFonts w:ascii="Verdana" w:hAnsi="Verdana"/>
          <w:sz w:val="20"/>
        </w:rPr>
        <w:t xml:space="preserve"> the fact</w:t>
      </w:r>
      <w:r>
        <w:rPr>
          <w:rFonts w:ascii="Verdana" w:hAnsi="Verdana"/>
          <w:sz w:val="20"/>
        </w:rPr>
        <w:t xml:space="preserve"> that</w:t>
      </w:r>
      <w:r w:rsidRPr="003E709A">
        <w:rPr>
          <w:rFonts w:ascii="Verdana" w:hAnsi="Verdana"/>
          <w:sz w:val="20"/>
        </w:rPr>
        <w:t>:</w:t>
      </w:r>
    </w:p>
    <w:p w14:paraId="2AAAF679" w14:textId="08983D95" w:rsidR="003F1E18" w:rsidRPr="003E709A" w:rsidRDefault="003F1E18" w:rsidP="003F1E18">
      <w:pPr>
        <w:numPr>
          <w:ilvl w:val="1"/>
          <w:numId w:val="1"/>
        </w:numPr>
        <w:tabs>
          <w:tab w:val="clear" w:pos="328"/>
          <w:tab w:val="num" w:pos="1134"/>
        </w:tabs>
        <w:spacing w:before="120" w:after="120" w:line="312" w:lineRule="auto"/>
        <w:ind w:left="1134" w:hanging="425"/>
        <w:rPr>
          <w:rFonts w:ascii="Verdana" w:hAnsi="Verdana"/>
          <w:sz w:val="20"/>
        </w:rPr>
      </w:pPr>
      <w:r w:rsidRPr="003E709A">
        <w:rPr>
          <w:rFonts w:ascii="Verdana" w:hAnsi="Verdana"/>
          <w:sz w:val="20"/>
        </w:rPr>
        <w:t>there is no opportunity for experts to comment on other parties' expert reports</w:t>
      </w:r>
      <w:r w:rsidR="00960647">
        <w:rPr>
          <w:rFonts w:ascii="Verdana" w:hAnsi="Verdana"/>
          <w:sz w:val="20"/>
        </w:rPr>
        <w:t xml:space="preserve"> and the Commission has not even provided time for cross-submissions to be provided on the expert evidence submitted in this round of consultation</w:t>
      </w:r>
      <w:r w:rsidRPr="003E709A">
        <w:rPr>
          <w:rFonts w:ascii="Verdana" w:hAnsi="Verdana"/>
          <w:sz w:val="20"/>
        </w:rPr>
        <w:t xml:space="preserve">; </w:t>
      </w:r>
    </w:p>
    <w:p w14:paraId="7BBE494F" w14:textId="77777777" w:rsidR="003F1E18" w:rsidRPr="003E709A" w:rsidRDefault="003F1E18" w:rsidP="003F1E18">
      <w:pPr>
        <w:numPr>
          <w:ilvl w:val="1"/>
          <w:numId w:val="1"/>
        </w:numPr>
        <w:tabs>
          <w:tab w:val="clear" w:pos="328"/>
          <w:tab w:val="num" w:pos="1134"/>
        </w:tabs>
        <w:spacing w:before="120" w:after="120" w:line="312" w:lineRule="auto"/>
        <w:ind w:left="1134" w:hanging="425"/>
        <w:rPr>
          <w:rFonts w:ascii="Verdana" w:hAnsi="Verdana"/>
          <w:sz w:val="20"/>
        </w:rPr>
      </w:pPr>
      <w:r w:rsidRPr="003E709A">
        <w:rPr>
          <w:rFonts w:ascii="Verdana" w:hAnsi="Verdana"/>
          <w:sz w:val="20"/>
        </w:rPr>
        <w:t>there is no indication whether the Commission will release reports from its own experts, and whether there will be an opportunity to submit on th</w:t>
      </w:r>
      <w:r w:rsidR="00406F31">
        <w:rPr>
          <w:rFonts w:ascii="Verdana" w:hAnsi="Verdana"/>
          <w:sz w:val="20"/>
        </w:rPr>
        <w:t>o</w:t>
      </w:r>
      <w:r w:rsidRPr="003E709A">
        <w:rPr>
          <w:rFonts w:ascii="Verdana" w:hAnsi="Verdana"/>
          <w:sz w:val="20"/>
        </w:rPr>
        <w:t xml:space="preserve">se reports; </w:t>
      </w:r>
    </w:p>
    <w:p w14:paraId="4E0F553B" w14:textId="77777777" w:rsidR="003F1E18" w:rsidRPr="003E709A" w:rsidRDefault="003F1E18" w:rsidP="003F1E18">
      <w:pPr>
        <w:numPr>
          <w:ilvl w:val="1"/>
          <w:numId w:val="1"/>
        </w:numPr>
        <w:tabs>
          <w:tab w:val="clear" w:pos="328"/>
          <w:tab w:val="num" w:pos="1134"/>
        </w:tabs>
        <w:spacing w:before="120" w:after="120" w:line="312" w:lineRule="auto"/>
        <w:ind w:left="1134" w:hanging="425"/>
        <w:rPr>
          <w:rFonts w:ascii="Verdana" w:hAnsi="Verdana"/>
          <w:sz w:val="20"/>
        </w:rPr>
      </w:pPr>
      <w:r w:rsidRPr="003E709A">
        <w:rPr>
          <w:rFonts w:ascii="Verdana" w:hAnsi="Verdana"/>
          <w:sz w:val="20"/>
        </w:rPr>
        <w:t xml:space="preserve">there is no time allowed for a workshop conference, and no discussion of why one has not been provided for </w:t>
      </w:r>
      <w:r w:rsidR="00406F31">
        <w:rPr>
          <w:rFonts w:ascii="Verdana" w:hAnsi="Verdana"/>
          <w:sz w:val="20"/>
        </w:rPr>
        <w:t>(</w:t>
      </w:r>
      <w:r w:rsidR="009153EC">
        <w:rPr>
          <w:rFonts w:ascii="Verdana" w:hAnsi="Verdana"/>
          <w:sz w:val="20"/>
        </w:rPr>
        <w:t>Vector</w:t>
      </w:r>
      <w:r w:rsidR="009153EC" w:rsidRPr="003E709A">
        <w:rPr>
          <w:rFonts w:ascii="Verdana" w:hAnsi="Verdana"/>
          <w:sz w:val="20"/>
        </w:rPr>
        <w:t xml:space="preserve"> </w:t>
      </w:r>
      <w:r w:rsidRPr="003E709A">
        <w:rPr>
          <w:rFonts w:ascii="Verdana" w:hAnsi="Verdana"/>
          <w:sz w:val="20"/>
        </w:rPr>
        <w:t>consider</w:t>
      </w:r>
      <w:r w:rsidR="00406F31">
        <w:rPr>
          <w:rFonts w:ascii="Verdana" w:hAnsi="Verdana"/>
          <w:sz w:val="20"/>
        </w:rPr>
        <w:t>s</w:t>
      </w:r>
      <w:r w:rsidRPr="003E709A">
        <w:rPr>
          <w:rFonts w:ascii="Verdana" w:hAnsi="Verdana"/>
          <w:sz w:val="20"/>
        </w:rPr>
        <w:t xml:space="preserve"> a conference to be critical given it provides an opportunity for the Commission to question and hear from experts</w:t>
      </w:r>
      <w:r w:rsidR="00B01B81">
        <w:rPr>
          <w:rFonts w:ascii="Verdana" w:hAnsi="Verdana"/>
          <w:sz w:val="20"/>
        </w:rPr>
        <w:t>)</w:t>
      </w:r>
      <w:r w:rsidRPr="003E709A">
        <w:rPr>
          <w:rFonts w:ascii="Verdana" w:hAnsi="Verdana"/>
          <w:sz w:val="20"/>
        </w:rPr>
        <w:t>;</w:t>
      </w:r>
    </w:p>
    <w:p w14:paraId="3D9409D4" w14:textId="548D9B33" w:rsidR="00490A5D" w:rsidRPr="003E709A" w:rsidRDefault="003F1E18" w:rsidP="003F1E18">
      <w:pPr>
        <w:numPr>
          <w:ilvl w:val="1"/>
          <w:numId w:val="1"/>
        </w:numPr>
        <w:tabs>
          <w:tab w:val="clear" w:pos="328"/>
          <w:tab w:val="num" w:pos="1134"/>
        </w:tabs>
        <w:spacing w:before="120" w:after="120" w:line="312" w:lineRule="auto"/>
        <w:ind w:left="1134" w:hanging="425"/>
        <w:rPr>
          <w:rFonts w:ascii="Verdana" w:hAnsi="Verdana"/>
          <w:sz w:val="20"/>
        </w:rPr>
      </w:pPr>
      <w:r w:rsidRPr="003E709A">
        <w:rPr>
          <w:rFonts w:ascii="Verdana" w:hAnsi="Verdana"/>
          <w:sz w:val="20"/>
        </w:rPr>
        <w:t>the timeframes set are unreasonably short, and will result in extreme workloads given the complexity</w:t>
      </w:r>
      <w:r w:rsidR="00960647">
        <w:rPr>
          <w:rFonts w:ascii="Verdana" w:hAnsi="Verdana"/>
          <w:sz w:val="20"/>
        </w:rPr>
        <w:t xml:space="preserve"> and materiality</w:t>
      </w:r>
      <w:r w:rsidRPr="003E709A">
        <w:rPr>
          <w:rFonts w:ascii="Verdana" w:hAnsi="Verdana"/>
          <w:sz w:val="20"/>
        </w:rPr>
        <w:t xml:space="preserve"> of the subject</w:t>
      </w:r>
      <w:r>
        <w:rPr>
          <w:rFonts w:ascii="Verdana" w:hAnsi="Verdana"/>
          <w:sz w:val="20"/>
        </w:rPr>
        <w:t xml:space="preserve"> </w:t>
      </w:r>
      <w:r w:rsidRPr="003E709A">
        <w:rPr>
          <w:rFonts w:ascii="Verdana" w:hAnsi="Verdana"/>
          <w:sz w:val="20"/>
        </w:rPr>
        <w:t>matter and the need to instruct experts and manage availability constraints</w:t>
      </w:r>
      <w:r w:rsidR="00B01B81">
        <w:rPr>
          <w:rFonts w:ascii="Verdana" w:hAnsi="Verdana"/>
          <w:sz w:val="20"/>
        </w:rPr>
        <w:t xml:space="preserve"> (</w:t>
      </w:r>
      <w:r w:rsidRPr="003E709A">
        <w:rPr>
          <w:rFonts w:ascii="Verdana" w:hAnsi="Verdana"/>
          <w:sz w:val="20"/>
        </w:rPr>
        <w:t xml:space="preserve">especially </w:t>
      </w:r>
      <w:r>
        <w:rPr>
          <w:rFonts w:ascii="Verdana" w:hAnsi="Verdana"/>
          <w:sz w:val="20"/>
        </w:rPr>
        <w:t xml:space="preserve">given </w:t>
      </w:r>
      <w:r w:rsidRPr="003E709A">
        <w:rPr>
          <w:rFonts w:ascii="Verdana" w:hAnsi="Verdana"/>
          <w:sz w:val="20"/>
        </w:rPr>
        <w:t>the DPP reset consultation is progressing in parallel</w:t>
      </w:r>
      <w:r w:rsidR="00B01B81">
        <w:rPr>
          <w:rFonts w:ascii="Verdana" w:hAnsi="Verdana"/>
          <w:sz w:val="20"/>
        </w:rPr>
        <w:t>)</w:t>
      </w:r>
      <w:r w:rsidRPr="003E709A">
        <w:rPr>
          <w:rFonts w:ascii="Verdana" w:hAnsi="Verdana"/>
          <w:sz w:val="20"/>
        </w:rPr>
        <w:t>; and</w:t>
      </w:r>
    </w:p>
    <w:p w14:paraId="52E8AF9D" w14:textId="5787CE0A" w:rsidR="00490A5D" w:rsidRPr="00B471F5" w:rsidRDefault="003F1E18" w:rsidP="00490A5D">
      <w:pPr>
        <w:numPr>
          <w:ilvl w:val="1"/>
          <w:numId w:val="1"/>
        </w:numPr>
        <w:tabs>
          <w:tab w:val="clear" w:pos="328"/>
          <w:tab w:val="num" w:pos="1134"/>
        </w:tabs>
        <w:spacing w:before="120" w:after="120" w:line="312" w:lineRule="auto"/>
        <w:ind w:left="1134" w:hanging="425"/>
      </w:pPr>
      <w:proofErr w:type="gramStart"/>
      <w:r w:rsidRPr="00490A5D">
        <w:rPr>
          <w:rFonts w:ascii="Verdana" w:hAnsi="Verdana"/>
          <w:sz w:val="20"/>
        </w:rPr>
        <w:t>as</w:t>
      </w:r>
      <w:proofErr w:type="gramEnd"/>
      <w:r w:rsidRPr="00490A5D">
        <w:rPr>
          <w:rFonts w:ascii="Verdana" w:hAnsi="Verdana"/>
          <w:sz w:val="20"/>
        </w:rPr>
        <w:t xml:space="preserve"> noted above, the Commission is not allowing for full consideration of inter-</w:t>
      </w:r>
      <w:r w:rsidRPr="00D12E04">
        <w:rPr>
          <w:rFonts w:ascii="Verdana" w:hAnsi="Verdana"/>
          <w:sz w:val="20"/>
        </w:rPr>
        <w:t xml:space="preserve">linkages between WACC parameters and other IMs to ensure that asymmetric risk and model error are properly accounted for within the WACC IMs and the regime as a whole.  </w:t>
      </w:r>
    </w:p>
    <w:p w14:paraId="2C064307" w14:textId="77777777" w:rsidR="00EC6598" w:rsidRPr="008226C5" w:rsidRDefault="00EC6598" w:rsidP="00EC6598">
      <w:pPr>
        <w:pStyle w:val="Heading1"/>
        <w:spacing w:after="240" w:line="240" w:lineRule="auto"/>
        <w:rPr>
          <w:rFonts w:ascii="Verdana" w:hAnsi="Verdana"/>
          <w:i/>
          <w:sz w:val="20"/>
        </w:rPr>
      </w:pPr>
      <w:bookmarkStart w:id="27" w:name="_Toc387068647"/>
      <w:r w:rsidRPr="00A678F4">
        <w:rPr>
          <w:rFonts w:ascii="Verdana" w:hAnsi="Verdana"/>
          <w:sz w:val="20"/>
          <w:szCs w:val="20"/>
          <w:lang w:val="en-NZ"/>
        </w:rPr>
        <w:t>Conclusion</w:t>
      </w:r>
      <w:bookmarkEnd w:id="27"/>
    </w:p>
    <w:p w14:paraId="26B070D9" w14:textId="43F607FF" w:rsidR="003F1E18" w:rsidRPr="008226C5" w:rsidRDefault="003F1E18" w:rsidP="00B471F5">
      <w:pPr>
        <w:numPr>
          <w:ilvl w:val="0"/>
          <w:numId w:val="1"/>
        </w:numPr>
        <w:spacing w:before="120" w:line="312" w:lineRule="auto"/>
        <w:rPr>
          <w:rFonts w:ascii="Verdana" w:hAnsi="Verdana"/>
          <w:i/>
          <w:sz w:val="20"/>
        </w:rPr>
      </w:pPr>
      <w:r w:rsidRPr="008226C5">
        <w:rPr>
          <w:rFonts w:ascii="Verdana" w:hAnsi="Verdana"/>
          <w:sz w:val="20"/>
        </w:rPr>
        <w:t xml:space="preserve">Despite </w:t>
      </w:r>
      <w:r w:rsidR="005B718C">
        <w:rPr>
          <w:rFonts w:ascii="Verdana" w:hAnsi="Verdana"/>
          <w:sz w:val="20"/>
        </w:rPr>
        <w:t>submitter</w:t>
      </w:r>
      <w:r w:rsidR="005B718C" w:rsidRPr="008226C5">
        <w:rPr>
          <w:rFonts w:ascii="Verdana" w:hAnsi="Verdana"/>
          <w:sz w:val="20"/>
        </w:rPr>
        <w:t xml:space="preserve">'s </w:t>
      </w:r>
      <w:r w:rsidRPr="008226C5">
        <w:rPr>
          <w:rFonts w:ascii="Verdana" w:hAnsi="Verdana"/>
          <w:sz w:val="20"/>
        </w:rPr>
        <w:t xml:space="preserve">best efforts, it is apparent that further time is required </w:t>
      </w:r>
      <w:r w:rsidR="00EC6598">
        <w:rPr>
          <w:rFonts w:ascii="Verdana" w:hAnsi="Verdana"/>
          <w:sz w:val="20"/>
        </w:rPr>
        <w:t xml:space="preserve">to </w:t>
      </w:r>
      <w:r w:rsidR="00490A5D">
        <w:rPr>
          <w:rFonts w:ascii="Verdana" w:hAnsi="Verdana"/>
          <w:sz w:val="20"/>
        </w:rPr>
        <w:t>refin</w:t>
      </w:r>
      <w:r w:rsidR="00EC6598">
        <w:rPr>
          <w:rFonts w:ascii="Verdana" w:hAnsi="Verdana"/>
          <w:sz w:val="20"/>
        </w:rPr>
        <w:t>e</w:t>
      </w:r>
      <w:r w:rsidR="00EC6598" w:rsidRPr="008226C5">
        <w:rPr>
          <w:rFonts w:ascii="Verdana" w:hAnsi="Verdana"/>
          <w:sz w:val="20"/>
        </w:rPr>
        <w:t xml:space="preserve"> </w:t>
      </w:r>
      <w:r w:rsidRPr="008226C5">
        <w:rPr>
          <w:rFonts w:ascii="Verdana" w:hAnsi="Verdana"/>
          <w:sz w:val="20"/>
        </w:rPr>
        <w:t xml:space="preserve">the </w:t>
      </w:r>
      <w:r>
        <w:rPr>
          <w:rFonts w:ascii="Verdana" w:hAnsi="Verdana"/>
          <w:sz w:val="20"/>
        </w:rPr>
        <w:t xml:space="preserve">expert </w:t>
      </w:r>
      <w:r w:rsidRPr="008226C5">
        <w:rPr>
          <w:rFonts w:ascii="Verdana" w:hAnsi="Verdana"/>
          <w:sz w:val="20"/>
        </w:rPr>
        <w:t>analysis</w:t>
      </w:r>
      <w:r>
        <w:rPr>
          <w:rFonts w:ascii="Verdana" w:hAnsi="Verdana"/>
          <w:sz w:val="20"/>
        </w:rPr>
        <w:t xml:space="preserve"> </w:t>
      </w:r>
      <w:r w:rsidR="00EC6598">
        <w:rPr>
          <w:rFonts w:ascii="Verdana" w:hAnsi="Verdana"/>
          <w:sz w:val="20"/>
        </w:rPr>
        <w:t>to inform a decision on the appropriate WACC percentile.</w:t>
      </w:r>
    </w:p>
    <w:p w14:paraId="68C819EC" w14:textId="77777777" w:rsidR="00961CAE" w:rsidRPr="003F1E18" w:rsidRDefault="008226C5" w:rsidP="004C0A2E">
      <w:pPr>
        <w:numPr>
          <w:ilvl w:val="0"/>
          <w:numId w:val="1"/>
        </w:numPr>
        <w:spacing w:before="120" w:after="120" w:line="312" w:lineRule="auto"/>
        <w:rPr>
          <w:rFonts w:ascii="Verdana" w:hAnsi="Verdana"/>
          <w:i/>
          <w:sz w:val="20"/>
        </w:rPr>
      </w:pPr>
      <w:r w:rsidRPr="003F1E18">
        <w:rPr>
          <w:rFonts w:ascii="Verdana" w:hAnsi="Verdana"/>
          <w:sz w:val="20"/>
        </w:rPr>
        <w:t xml:space="preserve">In light of our ongoing and increasing concerns about the adequacy of the consultation process, and the lack of any sound justification </w:t>
      </w:r>
      <w:r w:rsidR="00411D14" w:rsidRPr="003F1E18">
        <w:rPr>
          <w:rFonts w:ascii="Verdana" w:hAnsi="Verdana"/>
          <w:sz w:val="20"/>
        </w:rPr>
        <w:t xml:space="preserve">for the compressed time frames, </w:t>
      </w:r>
      <w:r w:rsidR="009153EC">
        <w:rPr>
          <w:rFonts w:ascii="Verdana" w:hAnsi="Verdana"/>
          <w:sz w:val="20"/>
        </w:rPr>
        <w:t>Vector</w:t>
      </w:r>
      <w:r w:rsidR="009153EC" w:rsidRPr="003F1E18">
        <w:rPr>
          <w:rFonts w:ascii="Verdana" w:hAnsi="Verdana"/>
          <w:sz w:val="20"/>
        </w:rPr>
        <w:t xml:space="preserve"> </w:t>
      </w:r>
      <w:r w:rsidR="00411D14" w:rsidRPr="003F1E18">
        <w:rPr>
          <w:rFonts w:ascii="Verdana" w:hAnsi="Verdana"/>
          <w:sz w:val="20"/>
        </w:rPr>
        <w:t>urge</w:t>
      </w:r>
      <w:r w:rsidR="009153EC">
        <w:rPr>
          <w:rFonts w:ascii="Verdana" w:hAnsi="Verdana"/>
          <w:sz w:val="20"/>
        </w:rPr>
        <w:t>s</w:t>
      </w:r>
      <w:r w:rsidR="00411D14" w:rsidRPr="003F1E18">
        <w:rPr>
          <w:rFonts w:ascii="Verdana" w:hAnsi="Verdana"/>
          <w:sz w:val="20"/>
        </w:rPr>
        <w:t xml:space="preserve"> the Commission to extend the </w:t>
      </w:r>
      <w:r w:rsidR="0038678E" w:rsidRPr="003F1E18">
        <w:rPr>
          <w:rFonts w:ascii="Verdana" w:hAnsi="Verdana"/>
          <w:sz w:val="20"/>
        </w:rPr>
        <w:t xml:space="preserve">current </w:t>
      </w:r>
      <w:r w:rsidR="00411D14" w:rsidRPr="003F1E18">
        <w:rPr>
          <w:rFonts w:ascii="Verdana" w:hAnsi="Verdana"/>
          <w:sz w:val="20"/>
        </w:rPr>
        <w:t>timetable</w:t>
      </w:r>
      <w:r w:rsidR="0038678E" w:rsidRPr="003F1E18">
        <w:rPr>
          <w:rFonts w:ascii="Verdana" w:hAnsi="Verdana"/>
          <w:sz w:val="20"/>
        </w:rPr>
        <w:t xml:space="preserve"> and the scope of the matters being considered</w:t>
      </w:r>
      <w:r w:rsidR="00411D14" w:rsidRPr="003F1E18">
        <w:rPr>
          <w:rFonts w:ascii="Verdana" w:hAnsi="Verdana"/>
          <w:sz w:val="20"/>
        </w:rPr>
        <w:t>.</w:t>
      </w:r>
    </w:p>
    <w:p w14:paraId="5F9769DE" w14:textId="77777777" w:rsidR="008565E0" w:rsidRPr="003E62BA" w:rsidRDefault="008565E0" w:rsidP="00683A55">
      <w:pPr>
        <w:spacing w:before="120" w:after="120" w:line="240" w:lineRule="auto"/>
        <w:ind w:left="720"/>
        <w:rPr>
          <w:rFonts w:ascii="Verdana" w:hAnsi="Verdana"/>
          <w:i/>
          <w:sz w:val="20"/>
        </w:rPr>
      </w:pPr>
    </w:p>
    <w:sectPr w:rsidR="008565E0" w:rsidRPr="003E62BA" w:rsidSect="00B471F5">
      <w:pgSz w:w="11906" w:h="16838" w:code="9"/>
      <w:pgMar w:top="1440" w:right="1440" w:bottom="1440" w:left="1440"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36BC" w14:textId="77777777" w:rsidR="0040072F" w:rsidRDefault="0040072F">
      <w:r>
        <w:separator/>
      </w:r>
    </w:p>
  </w:endnote>
  <w:endnote w:type="continuationSeparator" w:id="0">
    <w:p w14:paraId="4344C350" w14:textId="77777777" w:rsidR="0040072F" w:rsidRDefault="0040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TRotisSemi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8E4A" w14:textId="77777777" w:rsidR="00B83CA7" w:rsidRDefault="005B7783" w:rsidP="00BA69EF">
    <w:pPr>
      <w:pStyle w:val="Footer"/>
      <w:framePr w:wrap="around" w:vAnchor="text" w:hAnchor="margin" w:xAlign="center" w:y="1"/>
      <w:rPr>
        <w:rStyle w:val="PageNumber"/>
      </w:rPr>
    </w:pPr>
    <w:r>
      <w:rPr>
        <w:rStyle w:val="PageNumber"/>
      </w:rPr>
      <w:fldChar w:fldCharType="begin"/>
    </w:r>
    <w:r w:rsidR="00B83CA7">
      <w:rPr>
        <w:rStyle w:val="PageNumber"/>
      </w:rPr>
      <w:instrText xml:space="preserve">PAGE  </w:instrText>
    </w:r>
    <w:r>
      <w:rPr>
        <w:rStyle w:val="PageNumber"/>
      </w:rPr>
      <w:fldChar w:fldCharType="separate"/>
    </w:r>
    <w:r w:rsidR="009A430B">
      <w:rPr>
        <w:rStyle w:val="PageNumber"/>
        <w:noProof/>
      </w:rPr>
      <w:t>15</w:t>
    </w:r>
    <w:r>
      <w:rPr>
        <w:rStyle w:val="PageNumber"/>
      </w:rPr>
      <w:fldChar w:fldCharType="end"/>
    </w:r>
  </w:p>
  <w:p w14:paraId="66C7A3B8" w14:textId="77777777" w:rsidR="00B83CA7" w:rsidRDefault="00B83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FCD1" w14:textId="77777777" w:rsidR="00B83CA7" w:rsidRPr="003D73B8" w:rsidRDefault="005B7783" w:rsidP="00BA69EF">
    <w:pPr>
      <w:pStyle w:val="Footer"/>
      <w:framePr w:wrap="around" w:vAnchor="text" w:hAnchor="margin" w:xAlign="center" w:y="1"/>
      <w:rPr>
        <w:rStyle w:val="PageNumber"/>
        <w:rFonts w:ascii="Verdana" w:hAnsi="Verdana"/>
        <w:sz w:val="20"/>
      </w:rPr>
    </w:pPr>
    <w:r w:rsidRPr="003D73B8">
      <w:rPr>
        <w:rStyle w:val="PageNumber"/>
        <w:rFonts w:ascii="Verdana" w:hAnsi="Verdana"/>
        <w:sz w:val="20"/>
      </w:rPr>
      <w:fldChar w:fldCharType="begin"/>
    </w:r>
    <w:r w:rsidR="00B83CA7" w:rsidRPr="003D73B8">
      <w:rPr>
        <w:rStyle w:val="PageNumber"/>
        <w:rFonts w:ascii="Verdana" w:hAnsi="Verdana"/>
        <w:sz w:val="20"/>
      </w:rPr>
      <w:instrText xml:space="preserve">PAGE  </w:instrText>
    </w:r>
    <w:r w:rsidRPr="003D73B8">
      <w:rPr>
        <w:rStyle w:val="PageNumber"/>
        <w:rFonts w:ascii="Verdana" w:hAnsi="Verdana"/>
        <w:sz w:val="20"/>
      </w:rPr>
      <w:fldChar w:fldCharType="separate"/>
    </w:r>
    <w:r w:rsidR="00F54605">
      <w:rPr>
        <w:rStyle w:val="PageNumber"/>
        <w:rFonts w:ascii="Verdana" w:hAnsi="Verdana"/>
        <w:noProof/>
        <w:sz w:val="20"/>
      </w:rPr>
      <w:t>13</w:t>
    </w:r>
    <w:r w:rsidRPr="003D73B8">
      <w:rPr>
        <w:rStyle w:val="PageNumber"/>
        <w:rFonts w:ascii="Verdana" w:hAnsi="Verdana"/>
        <w:sz w:val="20"/>
      </w:rPr>
      <w:fldChar w:fldCharType="end"/>
    </w:r>
  </w:p>
  <w:p w14:paraId="6C2BA3AF" w14:textId="77777777" w:rsidR="00B83CA7" w:rsidRDefault="00B8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5193D" w14:textId="77777777" w:rsidR="0040072F" w:rsidRDefault="0040072F">
      <w:r>
        <w:separator/>
      </w:r>
    </w:p>
  </w:footnote>
  <w:footnote w:type="continuationSeparator" w:id="0">
    <w:p w14:paraId="0E762692" w14:textId="77777777" w:rsidR="0040072F" w:rsidRDefault="0040072F">
      <w:r>
        <w:continuationSeparator/>
      </w:r>
    </w:p>
  </w:footnote>
  <w:footnote w:id="1">
    <w:p w14:paraId="4D46BBD4" w14:textId="77777777" w:rsidR="004A676C" w:rsidRPr="00AC2213" w:rsidRDefault="004A676C" w:rsidP="004A676C">
      <w:pPr>
        <w:pStyle w:val="FootnoteText"/>
        <w:ind w:left="284" w:hanging="284"/>
        <w:rPr>
          <w:rFonts w:ascii="Verdana" w:hAnsi="Verdana"/>
          <w:sz w:val="16"/>
          <w:szCs w:val="16"/>
          <w:lang w:val="en-NZ"/>
        </w:rPr>
      </w:pPr>
      <w:r w:rsidRPr="00AC2213">
        <w:rPr>
          <w:rStyle w:val="FootnoteReference"/>
          <w:rFonts w:ascii="Verdana" w:hAnsi="Verdana"/>
          <w:sz w:val="16"/>
          <w:szCs w:val="16"/>
        </w:rPr>
        <w:footnoteRef/>
      </w:r>
      <w:r w:rsidRPr="00AC2213">
        <w:rPr>
          <w:rFonts w:ascii="Verdana" w:hAnsi="Verdana"/>
          <w:sz w:val="16"/>
          <w:szCs w:val="16"/>
        </w:rPr>
        <w:t xml:space="preserve"> </w:t>
      </w:r>
      <w:r w:rsidRPr="00AC2213">
        <w:rPr>
          <w:rFonts w:ascii="Verdana" w:hAnsi="Verdana"/>
          <w:sz w:val="16"/>
          <w:szCs w:val="16"/>
        </w:rPr>
        <w:tab/>
        <w:t xml:space="preserve">See, for example, Martin Lally </w:t>
      </w:r>
      <w:proofErr w:type="gramStart"/>
      <w:r w:rsidRPr="00AC2213">
        <w:rPr>
          <w:rFonts w:ascii="Verdana" w:hAnsi="Verdana"/>
          <w:i/>
          <w:sz w:val="16"/>
          <w:szCs w:val="16"/>
        </w:rPr>
        <w:t>The</w:t>
      </w:r>
      <w:proofErr w:type="gramEnd"/>
      <w:r w:rsidRPr="00AC2213">
        <w:rPr>
          <w:rFonts w:ascii="Verdana" w:hAnsi="Verdana"/>
          <w:i/>
          <w:sz w:val="16"/>
          <w:szCs w:val="16"/>
        </w:rPr>
        <w:t xml:space="preserve"> Weighted Average Cost of Capital for Electricity Lines Businesses</w:t>
      </w:r>
      <w:r w:rsidRPr="00AC2213">
        <w:rPr>
          <w:rFonts w:ascii="Verdana" w:hAnsi="Verdana"/>
          <w:sz w:val="16"/>
          <w:szCs w:val="16"/>
        </w:rPr>
        <w:t xml:space="preserve"> (8 September 2005) and </w:t>
      </w:r>
      <w:r w:rsidRPr="00AC2213">
        <w:rPr>
          <w:rFonts w:ascii="Verdana" w:hAnsi="Verdana"/>
          <w:i/>
          <w:sz w:val="16"/>
          <w:szCs w:val="16"/>
        </w:rPr>
        <w:t>The Weighted Average Cost of Capital for Gas Pipeline Businesses</w:t>
      </w:r>
      <w:r w:rsidRPr="00AC2213">
        <w:rPr>
          <w:rFonts w:ascii="Verdana" w:hAnsi="Verdana"/>
          <w:sz w:val="16"/>
          <w:szCs w:val="16"/>
        </w:rPr>
        <w:t xml:space="preserve"> (28 October 2008).</w:t>
      </w:r>
    </w:p>
  </w:footnote>
  <w:footnote w:id="2">
    <w:p w14:paraId="2DA08E9B" w14:textId="77777777" w:rsidR="004A676C" w:rsidRPr="00AC2213" w:rsidRDefault="004A676C" w:rsidP="004A676C">
      <w:pPr>
        <w:pStyle w:val="FootnoteText"/>
        <w:ind w:left="284" w:hanging="284"/>
        <w:rPr>
          <w:rFonts w:ascii="Verdana" w:hAnsi="Verdana"/>
          <w:sz w:val="16"/>
          <w:szCs w:val="16"/>
          <w:lang w:val="en-NZ"/>
        </w:rPr>
      </w:pPr>
      <w:r w:rsidRPr="00AC2213">
        <w:rPr>
          <w:rStyle w:val="FootnoteReference"/>
          <w:rFonts w:ascii="Verdana" w:hAnsi="Verdana"/>
          <w:sz w:val="16"/>
          <w:szCs w:val="16"/>
        </w:rPr>
        <w:footnoteRef/>
      </w:r>
      <w:r w:rsidRPr="00AC2213">
        <w:rPr>
          <w:rFonts w:ascii="Verdana" w:hAnsi="Verdana"/>
          <w:sz w:val="16"/>
          <w:szCs w:val="16"/>
        </w:rPr>
        <w:t xml:space="preserve"> </w:t>
      </w:r>
      <w:r w:rsidRPr="00AC2213">
        <w:rPr>
          <w:rFonts w:ascii="Verdana" w:hAnsi="Verdana"/>
          <w:sz w:val="16"/>
          <w:szCs w:val="16"/>
          <w:lang w:val="en-NZ"/>
        </w:rPr>
        <w:tab/>
        <w:t xml:space="preserve">Julian Franks, Martin Lally and Stewart Myers </w:t>
      </w:r>
      <w:r w:rsidRPr="00AC2213">
        <w:rPr>
          <w:rFonts w:ascii="Verdana" w:hAnsi="Verdana"/>
          <w:i/>
          <w:sz w:val="16"/>
          <w:szCs w:val="16"/>
          <w:lang w:val="en-NZ"/>
        </w:rPr>
        <w:t>Recommendations to the New Zealand Commerce Commission on an Appropriate Cost of Capital Methodology</w:t>
      </w:r>
      <w:r w:rsidRPr="00AC2213">
        <w:rPr>
          <w:rFonts w:ascii="Verdana" w:hAnsi="Verdana"/>
          <w:sz w:val="16"/>
          <w:szCs w:val="16"/>
          <w:lang w:val="en-NZ"/>
        </w:rPr>
        <w:t xml:space="preserve"> (18 December 2008) at [155]–[157].</w:t>
      </w:r>
    </w:p>
  </w:footnote>
  <w:footnote w:id="3">
    <w:p w14:paraId="038B9AF1" w14:textId="77777777" w:rsidR="004A676C" w:rsidRPr="00AC2213" w:rsidRDefault="004A676C" w:rsidP="004A676C">
      <w:pPr>
        <w:pStyle w:val="FootnoteText"/>
        <w:ind w:left="284" w:hanging="284"/>
        <w:rPr>
          <w:rFonts w:ascii="Verdana" w:hAnsi="Verdana"/>
          <w:sz w:val="16"/>
          <w:szCs w:val="16"/>
          <w:lang w:val="en-NZ"/>
        </w:rPr>
      </w:pPr>
      <w:r w:rsidRPr="00AC2213">
        <w:rPr>
          <w:rStyle w:val="FootnoteReference"/>
          <w:rFonts w:ascii="Verdana" w:hAnsi="Verdana"/>
          <w:sz w:val="16"/>
          <w:szCs w:val="16"/>
        </w:rPr>
        <w:footnoteRef/>
      </w:r>
      <w:r w:rsidRPr="00AC2213">
        <w:rPr>
          <w:rFonts w:ascii="Verdana" w:hAnsi="Verdana"/>
          <w:sz w:val="16"/>
          <w:szCs w:val="16"/>
        </w:rPr>
        <w:t xml:space="preserve"> </w:t>
      </w:r>
      <w:r w:rsidRPr="00AC2213">
        <w:rPr>
          <w:rFonts w:ascii="Verdana" w:hAnsi="Verdana"/>
          <w:sz w:val="16"/>
          <w:szCs w:val="16"/>
          <w:lang w:val="en-NZ"/>
        </w:rPr>
        <w:tab/>
        <w:t xml:space="preserve">See, for example, Synergies Economic Consulting </w:t>
      </w:r>
      <w:r w:rsidRPr="00AC2213">
        <w:rPr>
          <w:rFonts w:ascii="Verdana" w:hAnsi="Verdana"/>
          <w:i/>
          <w:sz w:val="16"/>
          <w:szCs w:val="16"/>
          <w:lang w:val="en-NZ"/>
        </w:rPr>
        <w:t>Selected issues arising from Commerce Commission’s Input Methodologies Discussion Paper</w:t>
      </w:r>
      <w:r w:rsidRPr="00AC2213">
        <w:rPr>
          <w:rFonts w:ascii="Verdana" w:hAnsi="Verdana"/>
          <w:sz w:val="16"/>
          <w:szCs w:val="16"/>
          <w:lang w:val="en-NZ"/>
        </w:rPr>
        <w:t xml:space="preserve"> (August 2009) at VII; PwC </w:t>
      </w:r>
      <w:r w:rsidRPr="00AC2213">
        <w:rPr>
          <w:rFonts w:ascii="Verdana" w:hAnsi="Verdana"/>
          <w:i/>
          <w:sz w:val="16"/>
          <w:szCs w:val="16"/>
          <w:lang w:val="en-NZ"/>
        </w:rPr>
        <w:t>Revised Draft Guidelines – Submission to Commerce Commission on behalf of Powerco</w:t>
      </w:r>
      <w:r w:rsidRPr="00AC2213">
        <w:rPr>
          <w:rFonts w:ascii="Verdana" w:hAnsi="Verdana"/>
          <w:sz w:val="16"/>
          <w:szCs w:val="16"/>
          <w:lang w:val="en-NZ"/>
        </w:rPr>
        <w:t xml:space="preserve"> (August 2009) at 7-8; Synergies Economic Consulting </w:t>
      </w:r>
      <w:r w:rsidRPr="00AC2213">
        <w:rPr>
          <w:rFonts w:ascii="Verdana" w:hAnsi="Verdana"/>
          <w:i/>
          <w:sz w:val="16"/>
          <w:szCs w:val="16"/>
          <w:lang w:val="en-NZ"/>
        </w:rPr>
        <w:t>WACC Review: Final– Report Prepared for Vector</w:t>
      </w:r>
      <w:r w:rsidRPr="00AC2213">
        <w:rPr>
          <w:rFonts w:ascii="Verdana" w:hAnsi="Verdana"/>
          <w:sz w:val="16"/>
          <w:szCs w:val="16"/>
          <w:lang w:val="en-NZ"/>
        </w:rPr>
        <w:t xml:space="preserve"> (31 August 2009) at 15 and section 8; Uniservices </w:t>
      </w:r>
      <w:r w:rsidRPr="00AC2213">
        <w:rPr>
          <w:rFonts w:ascii="Verdana" w:hAnsi="Verdana"/>
          <w:i/>
          <w:sz w:val="16"/>
          <w:szCs w:val="16"/>
          <w:lang w:val="en-NZ"/>
        </w:rPr>
        <w:t>Comments on the Commerce Commission‘s Approach to estimate Cost of Capital (report prepared for NZAA)</w:t>
      </w:r>
      <w:r w:rsidRPr="00AC2213">
        <w:rPr>
          <w:rFonts w:ascii="Verdana" w:hAnsi="Verdana"/>
          <w:sz w:val="16"/>
          <w:szCs w:val="16"/>
          <w:lang w:val="en-NZ"/>
        </w:rPr>
        <w:t xml:space="preserve"> (2 December 2009); Uniservices </w:t>
      </w:r>
      <w:r w:rsidRPr="00AC2213">
        <w:rPr>
          <w:rFonts w:ascii="Verdana" w:hAnsi="Verdana"/>
          <w:i/>
          <w:sz w:val="16"/>
          <w:szCs w:val="16"/>
          <w:lang w:val="en-NZ"/>
        </w:rPr>
        <w:t>Comments on Air New Zealand‘s and BARNZ‘s Submissions to the Commerce Commission‘s Approach to estimate the Cost of Capital in its Input Methodologies Draft Reasons Paper (report prepared for NZAA)</w:t>
      </w:r>
      <w:r w:rsidRPr="00AC2213">
        <w:rPr>
          <w:rFonts w:ascii="Verdana" w:hAnsi="Verdana"/>
          <w:sz w:val="16"/>
          <w:szCs w:val="16"/>
          <w:lang w:val="en-NZ"/>
        </w:rPr>
        <w:t xml:space="preserve"> (3 August 2010); Tony van Zijl (LECG) </w:t>
      </w:r>
      <w:r w:rsidRPr="00AC2213">
        <w:rPr>
          <w:rFonts w:ascii="Verdana" w:hAnsi="Verdana"/>
          <w:i/>
          <w:sz w:val="16"/>
          <w:szCs w:val="16"/>
          <w:lang w:val="en-NZ"/>
        </w:rPr>
        <w:t>Response to Commerce Commission’s Draft Cost of Capital Input Methodology (Prepared for ENA)</w:t>
      </w:r>
      <w:r w:rsidRPr="00AC2213">
        <w:rPr>
          <w:rFonts w:ascii="Verdana" w:hAnsi="Verdana"/>
          <w:sz w:val="16"/>
          <w:szCs w:val="16"/>
          <w:lang w:val="en-NZ"/>
        </w:rPr>
        <w:t xml:space="preserve"> (13 August 2010) at [17]-[24]; KPMG </w:t>
      </w:r>
      <w:r w:rsidRPr="00AC2213">
        <w:rPr>
          <w:rFonts w:ascii="Verdana" w:hAnsi="Verdana"/>
          <w:i/>
          <w:sz w:val="16"/>
          <w:szCs w:val="16"/>
          <w:lang w:val="en-NZ"/>
        </w:rPr>
        <w:t>Cross Submission to Commerce Commission on Input Methodologies Gas Pipeline Services: Draft Reasons Paper (prepared for Maui Development Ltd)</w:t>
      </w:r>
      <w:r w:rsidRPr="00AC2213">
        <w:rPr>
          <w:rFonts w:ascii="Verdana" w:hAnsi="Verdana"/>
          <w:sz w:val="16"/>
          <w:szCs w:val="16"/>
          <w:lang w:val="en-NZ"/>
        </w:rPr>
        <w:t xml:space="preserve"> (13 August 2010).</w:t>
      </w:r>
    </w:p>
  </w:footnote>
  <w:footnote w:id="4">
    <w:p w14:paraId="1DC3BFBB" w14:textId="77777777" w:rsidR="004A676C" w:rsidRPr="00AC2213" w:rsidRDefault="004A676C" w:rsidP="0099295A">
      <w:pPr>
        <w:pStyle w:val="FootnoteText"/>
        <w:ind w:left="284" w:hanging="284"/>
        <w:rPr>
          <w:rFonts w:ascii="Verdana" w:hAnsi="Verdana"/>
          <w:sz w:val="16"/>
          <w:szCs w:val="16"/>
          <w:lang w:val="en-NZ"/>
        </w:rPr>
      </w:pPr>
      <w:r w:rsidRPr="00AC2213">
        <w:rPr>
          <w:rStyle w:val="FootnoteReference"/>
          <w:rFonts w:ascii="Verdana" w:hAnsi="Verdana"/>
          <w:sz w:val="16"/>
          <w:szCs w:val="16"/>
        </w:rPr>
        <w:footnoteRef/>
      </w:r>
      <w:r w:rsidRPr="00AC2213">
        <w:rPr>
          <w:rFonts w:ascii="Verdana" w:hAnsi="Verdana"/>
          <w:sz w:val="16"/>
          <w:szCs w:val="16"/>
        </w:rPr>
        <w:t xml:space="preserve"> </w:t>
      </w:r>
      <w:r w:rsidRPr="00AC2213">
        <w:rPr>
          <w:rFonts w:ascii="Verdana" w:hAnsi="Verdana"/>
          <w:sz w:val="16"/>
          <w:szCs w:val="16"/>
        </w:rPr>
        <w:tab/>
      </w:r>
      <w:r w:rsidRPr="00AC2213">
        <w:rPr>
          <w:rFonts w:ascii="Verdana" w:hAnsi="Verdana"/>
          <w:sz w:val="16"/>
          <w:szCs w:val="16"/>
          <w:lang w:val="en-NZ"/>
        </w:rPr>
        <w:t xml:space="preserve">Commerce Commission, </w:t>
      </w:r>
      <w:r w:rsidRPr="00AC2213">
        <w:rPr>
          <w:rFonts w:ascii="Verdana" w:hAnsi="Verdana"/>
          <w:i/>
          <w:sz w:val="16"/>
          <w:szCs w:val="16"/>
          <w:lang w:val="en-NZ"/>
        </w:rPr>
        <w:t xml:space="preserve">Input Methodologies (Electricity Distribution and Gas Pipeline Services) </w:t>
      </w:r>
      <w:r w:rsidRPr="00AC2213">
        <w:rPr>
          <w:rFonts w:ascii="Verdana" w:hAnsi="Verdana"/>
          <w:sz w:val="16"/>
          <w:szCs w:val="16"/>
          <w:lang w:val="en-NZ"/>
        </w:rPr>
        <w:t>Reasons</w:t>
      </w:r>
      <w:r w:rsidRPr="00AC2213">
        <w:rPr>
          <w:rFonts w:ascii="Verdana" w:hAnsi="Verdana"/>
          <w:i/>
          <w:sz w:val="16"/>
          <w:szCs w:val="16"/>
          <w:lang w:val="en-NZ"/>
        </w:rPr>
        <w:t xml:space="preserve"> Paper, </w:t>
      </w:r>
      <w:r w:rsidRPr="00AC2213">
        <w:rPr>
          <w:rFonts w:ascii="Verdana" w:hAnsi="Verdana"/>
          <w:sz w:val="16"/>
          <w:szCs w:val="16"/>
          <w:lang w:val="en-NZ"/>
        </w:rPr>
        <w:t>22 December 2010 (Final Reasons Paper), at [H1.31].</w:t>
      </w:r>
    </w:p>
  </w:footnote>
  <w:footnote w:id="5">
    <w:p w14:paraId="799F3AE7" w14:textId="509D8EBD" w:rsidR="001560AD" w:rsidRPr="00B471F5" w:rsidRDefault="005B7783" w:rsidP="001560AD">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Sapere Report, sections 5.2 and 5.3.</w:t>
      </w:r>
    </w:p>
  </w:footnote>
  <w:footnote w:id="6">
    <w:p w14:paraId="6CA3A52E" w14:textId="37995283" w:rsidR="00CC0344" w:rsidRPr="00AC2213" w:rsidRDefault="005B7783" w:rsidP="00F923B1">
      <w:pPr>
        <w:pStyle w:val="FootnoteText"/>
        <w:ind w:left="284" w:hanging="284"/>
        <w:rPr>
          <w:rFonts w:ascii="Verdana" w:hAnsi="Verdana"/>
          <w:sz w:val="16"/>
          <w:szCs w:val="16"/>
          <w:lang w:val="en-NZ"/>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See paragraphs</w:t>
      </w:r>
      <w:r w:rsidR="00904F0A">
        <w:rPr>
          <w:rFonts w:ascii="Verdana" w:hAnsi="Verdana"/>
          <w:sz w:val="16"/>
          <w:szCs w:val="16"/>
        </w:rPr>
        <w:t xml:space="preserve"> 38-40</w:t>
      </w:r>
      <w:r w:rsidRPr="00B471F5">
        <w:rPr>
          <w:rFonts w:ascii="Verdana" w:hAnsi="Verdana"/>
          <w:sz w:val="16"/>
          <w:szCs w:val="16"/>
        </w:rPr>
        <w:t xml:space="preserve"> below</w:t>
      </w:r>
      <w:r w:rsidR="00B70F46">
        <w:rPr>
          <w:rFonts w:ascii="Verdana" w:hAnsi="Verdana"/>
          <w:sz w:val="16"/>
          <w:szCs w:val="16"/>
        </w:rPr>
        <w:t>,</w:t>
      </w:r>
      <w:r w:rsidRPr="00B471F5">
        <w:rPr>
          <w:rFonts w:ascii="Verdana" w:hAnsi="Verdana"/>
          <w:sz w:val="16"/>
          <w:szCs w:val="16"/>
        </w:rPr>
        <w:t xml:space="preserve"> which discuss the importance of regulatory commitment - that a regulator should not abandon reasoning and approaches without a sound evidential basis.</w:t>
      </w:r>
    </w:p>
  </w:footnote>
  <w:footnote w:id="7">
    <w:p w14:paraId="5D04B9E3" w14:textId="77777777" w:rsidR="007330E8" w:rsidRPr="00AC2213" w:rsidRDefault="005B7783" w:rsidP="007330E8">
      <w:pPr>
        <w:pStyle w:val="FootnoteText"/>
        <w:ind w:left="284" w:hanging="284"/>
        <w:rPr>
          <w:rFonts w:ascii="Verdana" w:hAnsi="Verdana"/>
          <w:sz w:val="16"/>
          <w:szCs w:val="16"/>
          <w:lang w:val="en-NZ"/>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 xml:space="preserve">See for example, Cabinet Economic Development Committee, </w:t>
      </w:r>
      <w:r w:rsidRPr="00B471F5">
        <w:rPr>
          <w:rFonts w:ascii="Verdana" w:hAnsi="Verdana"/>
          <w:i/>
          <w:sz w:val="16"/>
          <w:szCs w:val="16"/>
        </w:rPr>
        <w:t>Review of Parts 4 and 4A of the Commerce Act</w:t>
      </w:r>
      <w:r w:rsidRPr="00B471F5">
        <w:rPr>
          <w:rFonts w:ascii="Verdana" w:hAnsi="Verdana"/>
          <w:sz w:val="16"/>
          <w:szCs w:val="16"/>
        </w:rPr>
        <w:t xml:space="preserve">, 22 January 2008, </w:t>
      </w:r>
      <w:r w:rsidRPr="00B471F5">
        <w:rPr>
          <w:rFonts w:ascii="Verdana" w:hAnsi="Verdana"/>
          <w:sz w:val="16"/>
          <w:szCs w:val="16"/>
          <w:lang w:val="en-US"/>
        </w:rPr>
        <w:t xml:space="preserve">para 7; </w:t>
      </w:r>
      <w:r w:rsidRPr="00B471F5">
        <w:rPr>
          <w:rFonts w:ascii="Verdana" w:hAnsi="Verdana"/>
          <w:sz w:val="16"/>
          <w:szCs w:val="16"/>
        </w:rPr>
        <w:t>Dalziel, L. and Parker, D., "Bill gives better incentives for infrastructure investment", 13 March 2008.</w:t>
      </w:r>
    </w:p>
  </w:footnote>
  <w:footnote w:id="8">
    <w:p w14:paraId="195C3420" w14:textId="77777777" w:rsidR="00E860D3" w:rsidRPr="00AC2213" w:rsidRDefault="005B7783" w:rsidP="00E860D3">
      <w:pPr>
        <w:pStyle w:val="FootnoteText"/>
        <w:ind w:left="284" w:hanging="284"/>
        <w:rPr>
          <w:rFonts w:ascii="Verdana" w:hAnsi="Verdana"/>
          <w:sz w:val="16"/>
          <w:szCs w:val="16"/>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Competition is defined in the Act as workable or effective competition: see section 3(1).</w:t>
      </w:r>
    </w:p>
  </w:footnote>
  <w:footnote w:id="9">
    <w:p w14:paraId="0148705E" w14:textId="0FFF4E93" w:rsidR="004A676C" w:rsidRPr="00B471F5" w:rsidRDefault="005B7783" w:rsidP="000D621E">
      <w:pPr>
        <w:pStyle w:val="FootnoteText"/>
        <w:ind w:left="284" w:hanging="284"/>
        <w:rPr>
          <w:rFonts w:ascii="Verdana" w:hAnsi="Verdana"/>
          <w:sz w:val="16"/>
          <w:szCs w:val="16"/>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 xml:space="preserve">Commerce Commission, </w:t>
      </w:r>
      <w:r w:rsidRPr="00B471F5">
        <w:rPr>
          <w:rFonts w:ascii="Verdana" w:hAnsi="Verdana"/>
          <w:i/>
          <w:sz w:val="16"/>
          <w:szCs w:val="16"/>
        </w:rPr>
        <w:t xml:space="preserve">A Guide for Regulatory Decision Making by the Commerce Commission in the Telecommunications Sector - Discussion Paper </w:t>
      </w:r>
      <w:r w:rsidRPr="00B471F5">
        <w:rPr>
          <w:rFonts w:ascii="Verdana" w:hAnsi="Verdana"/>
          <w:sz w:val="16"/>
          <w:szCs w:val="16"/>
        </w:rPr>
        <w:t>(31 July 2009), p 28.</w:t>
      </w:r>
    </w:p>
  </w:footnote>
  <w:footnote w:id="10">
    <w:p w14:paraId="530B773A" w14:textId="77777777" w:rsidR="0036312D" w:rsidRPr="00B471F5" w:rsidRDefault="005B7783" w:rsidP="0036312D">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r>
      <w:r w:rsidRPr="00B471F5">
        <w:rPr>
          <w:rFonts w:ascii="Verdana" w:hAnsi="Verdana"/>
          <w:sz w:val="16"/>
          <w:szCs w:val="16"/>
          <w:lang w:val="en-NZ"/>
        </w:rPr>
        <w:t>Final Reasons Paper, at [H1.31].</w:t>
      </w:r>
    </w:p>
  </w:footnote>
  <w:footnote w:id="11">
    <w:p w14:paraId="79E9C4EF" w14:textId="77777777" w:rsidR="000D621E" w:rsidRPr="00B471F5" w:rsidRDefault="005B7783" w:rsidP="00A60864">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r>
      <w:r w:rsidRPr="00B471F5">
        <w:rPr>
          <w:rFonts w:ascii="Verdana" w:hAnsi="Verdana"/>
          <w:i/>
          <w:sz w:val="16"/>
          <w:szCs w:val="16"/>
        </w:rPr>
        <w:t xml:space="preserve">Wellington International Airport Limited v Commerce Commission </w:t>
      </w:r>
      <w:r w:rsidRPr="00B471F5">
        <w:rPr>
          <w:rFonts w:ascii="Verdana" w:hAnsi="Verdana"/>
          <w:sz w:val="16"/>
          <w:szCs w:val="16"/>
        </w:rPr>
        <w:t>[2013] NZHC 3289 (MR Judgment), at [1460] - [1461].</w:t>
      </w:r>
      <w:r w:rsidRPr="00B471F5">
        <w:rPr>
          <w:rFonts w:ascii="Verdana" w:hAnsi="Verdana"/>
          <w:sz w:val="16"/>
          <w:szCs w:val="16"/>
        </w:rPr>
        <w:tab/>
      </w:r>
    </w:p>
  </w:footnote>
  <w:footnote w:id="12">
    <w:p w14:paraId="1834FA77" w14:textId="77777777" w:rsidR="00A60864" w:rsidRPr="00B471F5" w:rsidRDefault="005B7783" w:rsidP="00A60864">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ab/>
        <w:t xml:space="preserve">MR </w:t>
      </w:r>
      <w:r w:rsidRPr="00B471F5">
        <w:rPr>
          <w:rFonts w:ascii="Verdana" w:hAnsi="Verdana"/>
          <w:sz w:val="16"/>
          <w:szCs w:val="16"/>
          <w:lang w:val="en-NZ"/>
        </w:rPr>
        <w:t>Judgment</w:t>
      </w:r>
      <w:r w:rsidRPr="00B471F5">
        <w:rPr>
          <w:rFonts w:ascii="Verdana" w:hAnsi="Verdana"/>
          <w:sz w:val="16"/>
          <w:szCs w:val="16"/>
        </w:rPr>
        <w:t>, at [264].</w:t>
      </w:r>
    </w:p>
  </w:footnote>
  <w:footnote w:id="13">
    <w:p w14:paraId="4379619A" w14:textId="77777777" w:rsidR="00A60864" w:rsidRPr="00B471F5" w:rsidRDefault="005B7783" w:rsidP="00A60864">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MR Judgment, at [1460] - [1461].</w:t>
      </w:r>
    </w:p>
  </w:footnote>
  <w:footnote w:id="14">
    <w:p w14:paraId="22A21788" w14:textId="50760EDB" w:rsidR="00A60864" w:rsidRPr="00B471F5" w:rsidRDefault="005B7783" w:rsidP="00A60864">
      <w:pPr>
        <w:pStyle w:val="FootnoteText"/>
        <w:ind w:left="284" w:hanging="284"/>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 xml:space="preserve">MR Judgment, </w:t>
      </w:r>
      <w:r w:rsidR="0022629A" w:rsidRPr="0022629A">
        <w:rPr>
          <w:rFonts w:ascii="Verdana" w:hAnsi="Verdana"/>
          <w:sz w:val="16"/>
          <w:szCs w:val="16"/>
        </w:rPr>
        <w:t>at [</w:t>
      </w:r>
      <w:r w:rsidRPr="00B471F5">
        <w:rPr>
          <w:rFonts w:ascii="Verdana" w:hAnsi="Verdana"/>
          <w:sz w:val="16"/>
          <w:szCs w:val="16"/>
        </w:rPr>
        <w:t>1461].</w:t>
      </w:r>
    </w:p>
  </w:footnote>
  <w:footnote w:id="15">
    <w:p w14:paraId="3F6D73EE" w14:textId="0AA62297" w:rsidR="00A009AE" w:rsidRPr="00B471F5" w:rsidRDefault="005B7783">
      <w:pPr>
        <w:pStyle w:val="FootnoteText"/>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00E67622">
        <w:rPr>
          <w:rFonts w:ascii="Verdana" w:hAnsi="Verdana"/>
          <w:sz w:val="16"/>
          <w:szCs w:val="16"/>
        </w:rPr>
        <w:t xml:space="preserve">  </w:t>
      </w:r>
      <w:r w:rsidRPr="00B471F5">
        <w:rPr>
          <w:rFonts w:ascii="Verdana" w:hAnsi="Verdana"/>
          <w:sz w:val="16"/>
          <w:szCs w:val="16"/>
          <w:lang w:val="en-NZ"/>
        </w:rPr>
        <w:t>Sapere report, section 2.2.</w:t>
      </w:r>
    </w:p>
  </w:footnote>
  <w:footnote w:id="16">
    <w:p w14:paraId="2AC54B1E" w14:textId="4BE436F5" w:rsidR="00E67622" w:rsidRPr="00B471F5" w:rsidRDefault="00E67622">
      <w:pPr>
        <w:pStyle w:val="FootnoteText"/>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lang w:val="en-NZ"/>
        </w:rPr>
        <w:t>Sapere report, section</w:t>
      </w:r>
      <w:r>
        <w:rPr>
          <w:rFonts w:ascii="Verdana" w:hAnsi="Verdana"/>
          <w:sz w:val="16"/>
          <w:szCs w:val="16"/>
          <w:lang w:val="en-NZ"/>
        </w:rPr>
        <w:t>s</w:t>
      </w:r>
      <w:r w:rsidRPr="00B471F5">
        <w:rPr>
          <w:rFonts w:ascii="Verdana" w:hAnsi="Verdana"/>
          <w:sz w:val="16"/>
          <w:szCs w:val="16"/>
          <w:lang w:val="en-NZ"/>
        </w:rPr>
        <w:t xml:space="preserve"> 2.4</w:t>
      </w:r>
      <w:r>
        <w:rPr>
          <w:rFonts w:ascii="Verdana" w:hAnsi="Verdana"/>
          <w:sz w:val="16"/>
          <w:szCs w:val="16"/>
          <w:lang w:val="en-NZ"/>
        </w:rPr>
        <w:t xml:space="preserve"> and 3.3</w:t>
      </w:r>
      <w:r w:rsidR="0022629A">
        <w:rPr>
          <w:rFonts w:ascii="Verdana" w:hAnsi="Verdana"/>
          <w:sz w:val="16"/>
          <w:szCs w:val="16"/>
          <w:lang w:val="en-NZ"/>
        </w:rPr>
        <w:t>.</w:t>
      </w:r>
    </w:p>
  </w:footnote>
  <w:footnote w:id="17">
    <w:p w14:paraId="4B35CF29" w14:textId="3DBDAD58" w:rsidR="00E67622" w:rsidRPr="004C7F09" w:rsidRDefault="00E67622">
      <w:pPr>
        <w:pStyle w:val="FootnoteText"/>
        <w:rPr>
          <w:rFonts w:ascii="Verdana" w:hAnsi="Verdana"/>
          <w:sz w:val="16"/>
          <w:szCs w:val="16"/>
          <w:lang w:val="en-NZ"/>
        </w:rPr>
      </w:pPr>
      <w:r w:rsidRPr="004C7F09">
        <w:rPr>
          <w:rStyle w:val="FootnoteReference"/>
          <w:rFonts w:ascii="Verdana" w:hAnsi="Verdana"/>
          <w:sz w:val="16"/>
          <w:szCs w:val="16"/>
        </w:rPr>
        <w:footnoteRef/>
      </w:r>
      <w:r w:rsidRPr="004C7F09">
        <w:rPr>
          <w:rFonts w:ascii="Verdana" w:hAnsi="Verdana"/>
          <w:sz w:val="16"/>
          <w:szCs w:val="16"/>
        </w:rPr>
        <w:t xml:space="preserve"> </w:t>
      </w:r>
      <w:r w:rsidRPr="004C7F09">
        <w:rPr>
          <w:rFonts w:ascii="Verdana" w:hAnsi="Verdana"/>
          <w:sz w:val="16"/>
          <w:szCs w:val="16"/>
          <w:lang w:val="en-NZ"/>
        </w:rPr>
        <w:t xml:space="preserve">  Sapere report, section 4.</w:t>
      </w:r>
    </w:p>
  </w:footnote>
  <w:footnote w:id="18">
    <w:p w14:paraId="6366D5DB" w14:textId="7039F323" w:rsidR="00E67622" w:rsidRPr="004C7F09" w:rsidRDefault="00E67622">
      <w:pPr>
        <w:pStyle w:val="FootnoteText"/>
        <w:rPr>
          <w:rFonts w:ascii="Verdana" w:hAnsi="Verdana"/>
          <w:sz w:val="16"/>
          <w:szCs w:val="16"/>
          <w:lang w:val="en-NZ"/>
        </w:rPr>
      </w:pPr>
      <w:r w:rsidRPr="004C7F09">
        <w:rPr>
          <w:rStyle w:val="FootnoteReference"/>
          <w:rFonts w:ascii="Verdana" w:hAnsi="Verdana"/>
          <w:sz w:val="16"/>
          <w:szCs w:val="16"/>
        </w:rPr>
        <w:footnoteRef/>
      </w:r>
      <w:r w:rsidRPr="004C7F09">
        <w:rPr>
          <w:rFonts w:ascii="Verdana" w:hAnsi="Verdana"/>
          <w:sz w:val="16"/>
          <w:szCs w:val="16"/>
        </w:rPr>
        <w:t xml:space="preserve">   Sapere report, section 4.4.</w:t>
      </w:r>
    </w:p>
  </w:footnote>
  <w:footnote w:id="19">
    <w:p w14:paraId="1417E5F7" w14:textId="5C24BCE7" w:rsidR="008A6B30" w:rsidRPr="00B471F5" w:rsidRDefault="005B7783">
      <w:pPr>
        <w:pStyle w:val="FootnoteText"/>
        <w:rPr>
          <w:rFonts w:ascii="Verdana" w:hAnsi="Verdana"/>
          <w:sz w:val="16"/>
          <w:szCs w:val="16"/>
          <w:lang w:val="en-NZ"/>
        </w:rPr>
      </w:pPr>
      <w:r w:rsidRPr="00B471F5">
        <w:rPr>
          <w:rStyle w:val="FootnoteReference"/>
          <w:rFonts w:ascii="Verdana" w:hAnsi="Verdana"/>
          <w:sz w:val="16"/>
          <w:szCs w:val="16"/>
        </w:rPr>
        <w:footnoteRef/>
      </w:r>
      <w:r w:rsidRPr="00B471F5">
        <w:rPr>
          <w:rFonts w:ascii="Verdana" w:hAnsi="Verdana"/>
          <w:sz w:val="16"/>
          <w:szCs w:val="16"/>
        </w:rPr>
        <w:t xml:space="preserve"> </w:t>
      </w:r>
      <w:r w:rsidR="00E67622">
        <w:rPr>
          <w:rFonts w:ascii="Verdana" w:hAnsi="Verdana"/>
          <w:sz w:val="16"/>
          <w:szCs w:val="16"/>
        </w:rPr>
        <w:t xml:space="preserve">  </w:t>
      </w:r>
      <w:r w:rsidRPr="00B471F5">
        <w:rPr>
          <w:rFonts w:ascii="Verdana" w:hAnsi="Verdana"/>
          <w:sz w:val="16"/>
          <w:szCs w:val="16"/>
          <w:lang w:val="en-NZ"/>
        </w:rPr>
        <w:t>Sapere report, section 5.</w:t>
      </w:r>
    </w:p>
  </w:footnote>
  <w:footnote w:id="20">
    <w:p w14:paraId="73DE0221" w14:textId="086FBF7D" w:rsidR="004A676C" w:rsidRPr="00AC2213" w:rsidRDefault="005B7783" w:rsidP="000D621E">
      <w:pPr>
        <w:pStyle w:val="FootnoteText"/>
        <w:ind w:left="284" w:hanging="284"/>
        <w:rPr>
          <w:rFonts w:ascii="Verdana" w:hAnsi="Verdana"/>
          <w:sz w:val="16"/>
          <w:szCs w:val="16"/>
          <w:lang w:val="en-NZ"/>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 xml:space="preserve">Frontier Economics, </w:t>
      </w:r>
      <w:r w:rsidRPr="00B471F5">
        <w:rPr>
          <w:rFonts w:ascii="Verdana" w:hAnsi="Verdana"/>
          <w:i/>
          <w:sz w:val="16"/>
          <w:szCs w:val="16"/>
        </w:rPr>
        <w:t xml:space="preserve">Evidence in support of setting allowed rates of return above the midpoint of the WACC range - A report prepared for Transpower New Zealand Ltd </w:t>
      </w:r>
      <w:r w:rsidRPr="00B471F5">
        <w:rPr>
          <w:rFonts w:ascii="Verdana" w:hAnsi="Verdana"/>
          <w:sz w:val="16"/>
          <w:szCs w:val="16"/>
        </w:rPr>
        <w:t xml:space="preserve">(13 March 2014), </w:t>
      </w:r>
      <w:proofErr w:type="spellStart"/>
      <w:r w:rsidRPr="00B471F5">
        <w:rPr>
          <w:rFonts w:ascii="Verdana" w:hAnsi="Verdana"/>
          <w:sz w:val="16"/>
          <w:szCs w:val="16"/>
        </w:rPr>
        <w:t>pp</w:t>
      </w:r>
      <w:proofErr w:type="spellEnd"/>
      <w:r w:rsidRPr="00B471F5">
        <w:rPr>
          <w:rFonts w:ascii="Verdana" w:hAnsi="Verdana"/>
          <w:sz w:val="16"/>
          <w:szCs w:val="16"/>
        </w:rPr>
        <w:t xml:space="preserve"> iii, iv, 21 - 24. </w:t>
      </w:r>
    </w:p>
  </w:footnote>
  <w:footnote w:id="21">
    <w:p w14:paraId="27049E2E" w14:textId="77777777" w:rsidR="00A614A1" w:rsidRPr="00AC2213" w:rsidRDefault="005B7783" w:rsidP="00A614A1">
      <w:pPr>
        <w:pStyle w:val="FootnoteText"/>
        <w:ind w:left="284" w:hanging="284"/>
        <w:rPr>
          <w:rFonts w:ascii="Verdana" w:hAnsi="Verdana"/>
          <w:sz w:val="16"/>
          <w:szCs w:val="16"/>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r>
      <w:r w:rsidRPr="00B471F5">
        <w:rPr>
          <w:rFonts w:ascii="Verdana" w:hAnsi="Verdana"/>
          <w:sz w:val="16"/>
          <w:szCs w:val="16"/>
          <w:lang w:val="en-NZ"/>
        </w:rPr>
        <w:t>Section</w:t>
      </w:r>
      <w:r w:rsidRPr="00B471F5">
        <w:rPr>
          <w:rFonts w:ascii="Verdana" w:hAnsi="Verdana"/>
          <w:sz w:val="16"/>
          <w:szCs w:val="16"/>
        </w:rPr>
        <w:t xml:space="preserve"> 52Z.</w:t>
      </w:r>
    </w:p>
  </w:footnote>
  <w:footnote w:id="22">
    <w:p w14:paraId="77351DA7" w14:textId="77777777" w:rsidR="00800DEF" w:rsidRPr="00B471F5" w:rsidRDefault="005B7783" w:rsidP="000D621E">
      <w:pPr>
        <w:pStyle w:val="FootnoteText"/>
        <w:ind w:left="284" w:hanging="284"/>
        <w:rPr>
          <w:rFonts w:ascii="Verdana" w:hAnsi="Verdana"/>
          <w:sz w:val="16"/>
          <w:szCs w:val="16"/>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r>
      <w:r w:rsidRPr="00B471F5">
        <w:rPr>
          <w:rFonts w:ascii="Verdana" w:hAnsi="Verdana"/>
          <w:sz w:val="16"/>
          <w:szCs w:val="16"/>
          <w:lang w:val="en-NZ"/>
        </w:rPr>
        <w:t>Section</w:t>
      </w:r>
      <w:r w:rsidRPr="00B471F5">
        <w:rPr>
          <w:rFonts w:ascii="Verdana" w:hAnsi="Verdana"/>
          <w:sz w:val="16"/>
          <w:szCs w:val="16"/>
        </w:rPr>
        <w:t xml:space="preserve"> </w:t>
      </w:r>
      <w:r w:rsidRPr="00B471F5">
        <w:rPr>
          <w:rFonts w:ascii="Verdana" w:hAnsi="Verdana"/>
          <w:sz w:val="16"/>
          <w:szCs w:val="16"/>
          <w:lang w:val="en-NZ"/>
        </w:rPr>
        <w:t>52Y</w:t>
      </w:r>
      <w:r w:rsidRPr="00B471F5">
        <w:rPr>
          <w:rFonts w:ascii="Verdana" w:hAnsi="Verdana"/>
          <w:sz w:val="16"/>
          <w:szCs w:val="16"/>
        </w:rPr>
        <w:t>.</w:t>
      </w:r>
    </w:p>
  </w:footnote>
  <w:footnote w:id="23">
    <w:p w14:paraId="4BBF92CB" w14:textId="4B2B85FB" w:rsidR="00FD5A04" w:rsidRPr="00AC2213" w:rsidRDefault="005B7783" w:rsidP="00FD5A04">
      <w:pPr>
        <w:pStyle w:val="FootnoteText"/>
        <w:ind w:left="284" w:hanging="284"/>
        <w:rPr>
          <w:rFonts w:ascii="Verdana" w:hAnsi="Verdana"/>
          <w:sz w:val="16"/>
          <w:szCs w:val="16"/>
          <w:lang w:val="en-NZ"/>
        </w:rPr>
      </w:pPr>
      <w:r>
        <w:rPr>
          <w:rStyle w:val="FootnoteReference"/>
          <w:rFonts w:ascii="Verdana" w:hAnsi="Verdana"/>
          <w:sz w:val="16"/>
          <w:szCs w:val="16"/>
        </w:rPr>
        <w:footnoteRef/>
      </w:r>
      <w:r w:rsidRPr="00B471F5">
        <w:rPr>
          <w:rFonts w:ascii="Verdana" w:hAnsi="Verdana"/>
          <w:sz w:val="16"/>
          <w:szCs w:val="16"/>
        </w:rPr>
        <w:tab/>
        <w:t>The importance of regulatory commitment has been recognised previously by the Commission, see for example the Final Reasons Paper at para 4.3.4 wher</w:t>
      </w:r>
      <w:r w:rsidR="00F54605">
        <w:rPr>
          <w:rFonts w:ascii="Verdana" w:hAnsi="Verdana"/>
          <w:sz w:val="16"/>
          <w:szCs w:val="16"/>
        </w:rPr>
        <w:t>e the Commission notes that "m</w:t>
      </w:r>
      <w:r w:rsidRPr="00B471F5">
        <w:rPr>
          <w:rFonts w:ascii="Verdana" w:hAnsi="Verdana"/>
          <w:sz w:val="16"/>
          <w:szCs w:val="16"/>
        </w:rPr>
        <w:t>onitoring or setting prices on a materially different basis to that used in the past would be likely to damage the confidence that suppliers and/or consumers have in the arrangements put in place under Part 4.</w:t>
      </w:r>
      <w:r w:rsidRPr="00B471F5">
        <w:rPr>
          <w:rFonts w:ascii="Verdana" w:hAnsi="Verdana"/>
          <w:sz w:val="16"/>
          <w:szCs w:val="16"/>
          <w:lang w:val="en-NZ"/>
        </w:rPr>
        <w:t xml:space="preserve"> </w:t>
      </w:r>
    </w:p>
  </w:footnote>
  <w:footnote w:id="24">
    <w:p w14:paraId="0F6F4ACB" w14:textId="77777777" w:rsidR="00F70536" w:rsidRPr="00AC2213" w:rsidRDefault="005B7783" w:rsidP="000D621E">
      <w:pPr>
        <w:pStyle w:val="FootnoteText"/>
        <w:ind w:left="284" w:hanging="284"/>
        <w:rPr>
          <w:rFonts w:ascii="Verdana" w:hAnsi="Verdana"/>
          <w:sz w:val="16"/>
          <w:szCs w:val="16"/>
          <w:lang w:val="en-NZ"/>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r>
      <w:r w:rsidRPr="00B471F5">
        <w:rPr>
          <w:rFonts w:ascii="Verdana" w:hAnsi="Verdana"/>
          <w:sz w:val="16"/>
          <w:szCs w:val="16"/>
          <w:lang w:val="en-NZ"/>
        </w:rPr>
        <w:t xml:space="preserve">For </w:t>
      </w:r>
      <w:r w:rsidRPr="00B471F5">
        <w:rPr>
          <w:rFonts w:ascii="Verdana" w:hAnsi="Verdana"/>
          <w:sz w:val="16"/>
          <w:szCs w:val="16"/>
        </w:rPr>
        <w:t>example</w:t>
      </w:r>
      <w:r w:rsidRPr="00B471F5">
        <w:rPr>
          <w:rFonts w:ascii="Verdana" w:hAnsi="Verdana"/>
          <w:sz w:val="16"/>
          <w:szCs w:val="16"/>
          <w:lang w:val="en-NZ"/>
        </w:rPr>
        <w:t>, the Commission refers to gathering further evidence in order to "form a view" on the appropriate percentile (see</w:t>
      </w:r>
      <w:r w:rsidRPr="00B471F5">
        <w:rPr>
          <w:rFonts w:ascii="Verdana" w:hAnsi="Verdana"/>
          <w:sz w:val="16"/>
          <w:szCs w:val="16"/>
        </w:rPr>
        <w:t xml:space="preserve"> </w:t>
      </w:r>
      <w:r w:rsidRPr="00B471F5">
        <w:rPr>
          <w:rFonts w:ascii="Verdana" w:hAnsi="Verdana"/>
          <w:sz w:val="16"/>
          <w:szCs w:val="16"/>
          <w:lang w:val="en-NZ"/>
        </w:rPr>
        <w:t xml:space="preserve">Commerce Commission, </w:t>
      </w:r>
      <w:r w:rsidRPr="00B471F5">
        <w:rPr>
          <w:rFonts w:ascii="Verdana" w:hAnsi="Verdana"/>
          <w:i/>
          <w:sz w:val="16"/>
          <w:szCs w:val="16"/>
          <w:lang w:val="en-NZ"/>
        </w:rPr>
        <w:t>Notice of intention to undertake further work on the cost of capital input methodologies</w:t>
      </w:r>
      <w:r w:rsidRPr="00B471F5">
        <w:rPr>
          <w:rFonts w:ascii="Verdana" w:hAnsi="Verdana"/>
          <w:sz w:val="16"/>
          <w:szCs w:val="16"/>
          <w:lang w:val="en-NZ"/>
        </w:rPr>
        <w:t xml:space="preserve">, 31 March 2014 at para 18.  </w:t>
      </w:r>
    </w:p>
  </w:footnote>
  <w:footnote w:id="25">
    <w:p w14:paraId="3B950771" w14:textId="692475E1" w:rsidR="00D437D5" w:rsidRPr="00AC2213" w:rsidRDefault="005B7783" w:rsidP="000D621E">
      <w:pPr>
        <w:pStyle w:val="FootnoteText"/>
        <w:ind w:left="284" w:hanging="284"/>
        <w:rPr>
          <w:rFonts w:ascii="Verdana" w:hAnsi="Verdana"/>
          <w:sz w:val="16"/>
          <w:szCs w:val="16"/>
        </w:rPr>
      </w:pPr>
      <w:r>
        <w:rPr>
          <w:rStyle w:val="FootnoteReference"/>
          <w:rFonts w:ascii="Verdana" w:hAnsi="Verdana"/>
          <w:sz w:val="16"/>
          <w:szCs w:val="16"/>
        </w:rPr>
        <w:footnoteRef/>
      </w:r>
      <w:r w:rsidRPr="00B471F5">
        <w:rPr>
          <w:rFonts w:ascii="Verdana" w:hAnsi="Verdana"/>
          <w:sz w:val="16"/>
          <w:szCs w:val="16"/>
        </w:rPr>
        <w:t xml:space="preserve"> </w:t>
      </w:r>
      <w:r w:rsidRPr="00B471F5">
        <w:rPr>
          <w:rFonts w:ascii="Verdana" w:hAnsi="Verdana"/>
          <w:sz w:val="16"/>
          <w:szCs w:val="16"/>
        </w:rPr>
        <w:tab/>
        <w:t>Se</w:t>
      </w:r>
      <w:r w:rsidR="0070143F">
        <w:rPr>
          <w:rFonts w:ascii="Verdana" w:hAnsi="Verdana"/>
          <w:sz w:val="16"/>
          <w:szCs w:val="16"/>
        </w:rPr>
        <w:t>e</w:t>
      </w:r>
      <w:r w:rsidRPr="00B471F5">
        <w:rPr>
          <w:rFonts w:ascii="Verdana" w:hAnsi="Verdana"/>
          <w:sz w:val="16"/>
          <w:szCs w:val="16"/>
        </w:rPr>
        <w:t xml:space="preserve">, for example, MR Judgment at [1482], where the Court stated that its 'in principle' objections to the Commission's use of the 75th percentile suffered from the same lack of empirical support as the Commission's approach.  In addition, the Court was not satisfied MEUG's proposed amendments to the WACC IM regarding the 75th percentile would be materially better at meeting the purposes laid out in sections 52A and 52R (at [1483]).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D374" w14:textId="77777777" w:rsidR="00B83CA7" w:rsidRDefault="00B83CA7">
    <w:pPr>
      <w:pStyle w:val="Header"/>
      <w:framePr w:wrap="around" w:vAnchor="text" w:hAnchor="margin" w:xAlign="right" w:y="1"/>
      <w:rPr>
        <w:rStyle w:val="PageNumber"/>
        <w:rFonts w:ascii="Verdana" w:hAnsi="Verdana"/>
        <w:sz w:val="16"/>
        <w:szCs w:val="16"/>
      </w:rPr>
    </w:pPr>
  </w:p>
  <w:p w14:paraId="5EEBE36D" w14:textId="77777777" w:rsidR="00B83CA7" w:rsidRDefault="00B83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58F"/>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350604"/>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CC3DF8"/>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A92B82"/>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F6276E"/>
    <w:multiLevelType w:val="hybridMultilevel"/>
    <w:tmpl w:val="C5E6BC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EDC428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333E22"/>
    <w:multiLevelType w:val="hybridMultilevel"/>
    <w:tmpl w:val="A9EE86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334B6"/>
    <w:multiLevelType w:val="hybridMultilevel"/>
    <w:tmpl w:val="D3F4F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6B6445"/>
    <w:multiLevelType w:val="hybridMultilevel"/>
    <w:tmpl w:val="060EB7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9BD0C08"/>
    <w:multiLevelType w:val="hybridMultilevel"/>
    <w:tmpl w:val="70C4ADF0"/>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A6F3B70"/>
    <w:multiLevelType w:val="hybridMultilevel"/>
    <w:tmpl w:val="D368EC2A"/>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CEDC428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A26571"/>
    <w:multiLevelType w:val="hybridMultilevel"/>
    <w:tmpl w:val="C49071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64E31"/>
    <w:multiLevelType w:val="hybridMultilevel"/>
    <w:tmpl w:val="EEB8B0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35016A"/>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E2A30A3"/>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27B602C"/>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2FE79E1"/>
    <w:multiLevelType w:val="multilevel"/>
    <w:tmpl w:val="A594C2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2C7528"/>
    <w:multiLevelType w:val="hybridMultilevel"/>
    <w:tmpl w:val="A594C2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D47001"/>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E1F6C86"/>
    <w:multiLevelType w:val="hybridMultilevel"/>
    <w:tmpl w:val="A22AB9F2"/>
    <w:lvl w:ilvl="0" w:tplc="56D477EE">
      <w:start w:val="1"/>
      <w:numFmt w:val="decimal"/>
      <w:lvlText w:val="%1."/>
      <w:lvlJc w:val="left"/>
      <w:pPr>
        <w:tabs>
          <w:tab w:val="num" w:pos="720"/>
        </w:tabs>
        <w:ind w:left="720" w:hanging="720"/>
      </w:pPr>
      <w:rPr>
        <w:rFonts w:ascii="Verdana" w:hAnsi="Verdana" w:hint="default"/>
        <w:b w:val="0"/>
        <w:i w:val="0"/>
      </w:rPr>
    </w:lvl>
    <w:lvl w:ilvl="1" w:tplc="2DE6373C">
      <w:start w:val="1"/>
      <w:numFmt w:val="lowerLetter"/>
      <w:lvlText w:val="%2)"/>
      <w:lvlJc w:val="left"/>
      <w:pPr>
        <w:tabs>
          <w:tab w:val="num" w:pos="1070"/>
        </w:tabs>
        <w:ind w:left="1070" w:hanging="360"/>
      </w:pPr>
      <w:rPr>
        <w:i w:val="0"/>
      </w:rPr>
    </w:lvl>
    <w:lvl w:ilvl="2" w:tplc="CEDC4284">
      <w:start w:val="1"/>
      <w:numFmt w:val="decimal"/>
      <w:lvlText w:val="(%3)"/>
      <w:lvlJc w:val="left"/>
      <w:pPr>
        <w:tabs>
          <w:tab w:val="num" w:pos="1588"/>
        </w:tabs>
        <w:ind w:left="1588" w:hanging="720"/>
      </w:pPr>
      <w:rPr>
        <w:rFonts w:hint="default"/>
      </w:rPr>
    </w:lvl>
    <w:lvl w:ilvl="3" w:tplc="0409000F" w:tentative="1">
      <w:start w:val="1"/>
      <w:numFmt w:val="decimal"/>
      <w:lvlText w:val="%4."/>
      <w:lvlJc w:val="left"/>
      <w:pPr>
        <w:tabs>
          <w:tab w:val="num" w:pos="1768"/>
        </w:tabs>
        <w:ind w:left="1768" w:hanging="360"/>
      </w:pPr>
    </w:lvl>
    <w:lvl w:ilvl="4" w:tplc="04090019" w:tentative="1">
      <w:start w:val="1"/>
      <w:numFmt w:val="lowerLetter"/>
      <w:lvlText w:val="%5."/>
      <w:lvlJc w:val="left"/>
      <w:pPr>
        <w:tabs>
          <w:tab w:val="num" w:pos="2488"/>
        </w:tabs>
        <w:ind w:left="2488" w:hanging="360"/>
      </w:pPr>
    </w:lvl>
    <w:lvl w:ilvl="5" w:tplc="0409001B" w:tentative="1">
      <w:start w:val="1"/>
      <w:numFmt w:val="lowerRoman"/>
      <w:lvlText w:val="%6."/>
      <w:lvlJc w:val="right"/>
      <w:pPr>
        <w:tabs>
          <w:tab w:val="num" w:pos="3208"/>
        </w:tabs>
        <w:ind w:left="3208" w:hanging="180"/>
      </w:pPr>
    </w:lvl>
    <w:lvl w:ilvl="6" w:tplc="0409000F" w:tentative="1">
      <w:start w:val="1"/>
      <w:numFmt w:val="decimal"/>
      <w:lvlText w:val="%7."/>
      <w:lvlJc w:val="left"/>
      <w:pPr>
        <w:tabs>
          <w:tab w:val="num" w:pos="3928"/>
        </w:tabs>
        <w:ind w:left="3928" w:hanging="360"/>
      </w:pPr>
    </w:lvl>
    <w:lvl w:ilvl="7" w:tplc="04090019" w:tentative="1">
      <w:start w:val="1"/>
      <w:numFmt w:val="lowerLetter"/>
      <w:lvlText w:val="%8."/>
      <w:lvlJc w:val="left"/>
      <w:pPr>
        <w:tabs>
          <w:tab w:val="num" w:pos="4648"/>
        </w:tabs>
        <w:ind w:left="4648" w:hanging="360"/>
      </w:pPr>
    </w:lvl>
    <w:lvl w:ilvl="8" w:tplc="0409001B" w:tentative="1">
      <w:start w:val="1"/>
      <w:numFmt w:val="lowerRoman"/>
      <w:lvlText w:val="%9."/>
      <w:lvlJc w:val="right"/>
      <w:pPr>
        <w:tabs>
          <w:tab w:val="num" w:pos="5368"/>
        </w:tabs>
        <w:ind w:left="5368" w:hanging="180"/>
      </w:pPr>
    </w:lvl>
  </w:abstractNum>
  <w:abstractNum w:abstractNumId="19">
    <w:nsid w:val="41BA5048"/>
    <w:multiLevelType w:val="hybridMultilevel"/>
    <w:tmpl w:val="263405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8983A6C"/>
    <w:multiLevelType w:val="hybridMultilevel"/>
    <w:tmpl w:val="F5229E8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2A302D"/>
    <w:multiLevelType w:val="multilevel"/>
    <w:tmpl w:val="3F228BF8"/>
    <w:lvl w:ilvl="0">
      <w:start w:val="1"/>
      <w:numFmt w:val="decimal"/>
      <w:lvlText w:val="%1."/>
      <w:lvlJc w:val="left"/>
      <w:pPr>
        <w:tabs>
          <w:tab w:val="num" w:pos="850"/>
        </w:tabs>
        <w:ind w:left="850" w:hanging="850"/>
      </w:pPr>
      <w:rPr>
        <w:rFonts w:ascii="Arial" w:hAnsi="Arial" w:cs="Arial"/>
        <w:b w:val="0"/>
        <w:i w:val="0"/>
        <w:caps w:val="0"/>
        <w:strike w:val="0"/>
        <w:dstrike w:val="0"/>
        <w:vanish w:val="0"/>
        <w:color w:val="auto"/>
        <w:kern w:val="28"/>
        <w:sz w:val="21"/>
        <w:u w:val="none"/>
        <w:effect w:val="none"/>
        <w:vertAlign w:val="baseline"/>
      </w:rPr>
    </w:lvl>
    <w:lvl w:ilvl="1">
      <w:start w:val="1"/>
      <w:numFmt w:val="lowerLetter"/>
      <w:lvlText w:val="(%2)"/>
      <w:lvlJc w:val="left"/>
      <w:pPr>
        <w:tabs>
          <w:tab w:val="num" w:pos="1701"/>
        </w:tabs>
        <w:ind w:left="1701" w:hanging="851"/>
      </w:pPr>
      <w:rPr>
        <w:rFonts w:ascii="Arial" w:hAnsi="Arial" w:cs="Arial"/>
        <w:b w:val="0"/>
        <w:i w:val="0"/>
        <w:caps w:val="0"/>
        <w:strike w:val="0"/>
        <w:dstrike w:val="0"/>
        <w:vanish w:val="0"/>
        <w:color w:val="auto"/>
        <w:kern w:val="28"/>
        <w:sz w:val="21"/>
        <w:u w:val="none"/>
        <w:effect w:val="none"/>
        <w:vertAlign w:val="baseline"/>
      </w:rPr>
    </w:lvl>
    <w:lvl w:ilvl="2">
      <w:start w:val="1"/>
      <w:numFmt w:val="lowerRoman"/>
      <w:lvlText w:val="(%3)"/>
      <w:lvlJc w:val="left"/>
      <w:pPr>
        <w:tabs>
          <w:tab w:val="num" w:pos="2551"/>
        </w:tabs>
        <w:ind w:left="2551" w:hanging="850"/>
      </w:pPr>
      <w:rPr>
        <w:rFonts w:ascii="Arial" w:hAnsi="Arial" w:cs="Arial"/>
        <w:b w:val="0"/>
        <w:i w:val="0"/>
        <w:caps w:val="0"/>
        <w:strike w:val="0"/>
        <w:dstrike w:val="0"/>
        <w:vanish w:val="0"/>
        <w:color w:val="auto"/>
        <w:kern w:val="28"/>
        <w:sz w:val="21"/>
        <w:u w:val="none"/>
        <w:effect w:val="none"/>
        <w:vertAlign w:val="baseline"/>
      </w:rPr>
    </w:lvl>
    <w:lvl w:ilvl="3">
      <w:start w:val="27"/>
      <w:numFmt w:val="lowerLetter"/>
      <w:lvlText w:val="(%4)"/>
      <w:lvlJc w:val="left"/>
      <w:pPr>
        <w:tabs>
          <w:tab w:val="num" w:pos="3402"/>
        </w:tabs>
        <w:ind w:left="3402" w:hanging="851"/>
      </w:pPr>
      <w:rPr>
        <w:rFonts w:ascii="Arial" w:hAnsi="Arial" w:cs="Arial"/>
        <w:b w:val="0"/>
        <w:i w:val="0"/>
        <w:caps w:val="0"/>
        <w:strike w:val="0"/>
        <w:dstrike w:val="0"/>
        <w:vanish w:val="0"/>
        <w:color w:val="auto"/>
        <w:kern w:val="28"/>
        <w:sz w:val="21"/>
        <w:u w:val="none"/>
        <w:effect w:val="none"/>
        <w:vertAlign w:val="baseline"/>
      </w:rPr>
    </w:lvl>
    <w:lvl w:ilvl="4">
      <w:start w:val="1"/>
      <w:numFmt w:val="none"/>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5">
      <w:start w:val="1"/>
      <w:numFmt w:val="none"/>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6">
      <w:start w:val="1"/>
      <w:numFmt w:val="none"/>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7">
      <w:start w:val="1"/>
      <w:numFmt w:val="none"/>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lvl w:ilvl="8">
      <w:start w:val="1"/>
      <w:numFmt w:val="none"/>
      <w:lvlText w:val=""/>
      <w:lvlJc w:val="left"/>
      <w:pPr>
        <w:tabs>
          <w:tab w:val="num" w:pos="3402"/>
        </w:tabs>
        <w:ind w:left="3402" w:firstLine="0"/>
      </w:pPr>
      <w:rPr>
        <w:rFonts w:ascii="Arial" w:hAnsi="Arial" w:cs="Arial"/>
        <w:b w:val="0"/>
        <w:i w:val="0"/>
        <w:caps w:val="0"/>
        <w:strike w:val="0"/>
        <w:dstrike w:val="0"/>
        <w:vanish w:val="0"/>
        <w:color w:val="auto"/>
        <w:kern w:val="28"/>
        <w:sz w:val="21"/>
        <w:u w:val="none"/>
        <w:effect w:val="none"/>
        <w:vertAlign w:val="baseline"/>
      </w:rPr>
    </w:lvl>
  </w:abstractNum>
  <w:abstractNum w:abstractNumId="22">
    <w:nsid w:val="4E0D0F3C"/>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5962DB0"/>
    <w:multiLevelType w:val="hybridMultilevel"/>
    <w:tmpl w:val="DC1A6C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4B4E8E"/>
    <w:multiLevelType w:val="multilevel"/>
    <w:tmpl w:val="D0DE62F0"/>
    <w:lvl w:ilvl="0">
      <w:start w:val="1"/>
      <w:numFmt w:val="bullet"/>
      <w:pStyle w:val="NumtextBullet1"/>
      <w:lvlText w:val="•"/>
      <w:lvlJc w:val="left"/>
      <w:pPr>
        <w:tabs>
          <w:tab w:val="num" w:pos="1134"/>
        </w:tabs>
        <w:ind w:left="1134" w:hanging="454"/>
      </w:pPr>
      <w:rPr>
        <w:rFonts w:ascii="Garamond" w:hAnsi="Garamond" w:hint="default"/>
        <w:color w:val="7B5E05"/>
      </w:rPr>
    </w:lvl>
    <w:lvl w:ilvl="1">
      <w:start w:val="1"/>
      <w:numFmt w:val="bullet"/>
      <w:pStyle w:val="NumtextBullet2"/>
      <w:lvlText w:val=""/>
      <w:lvlJc w:val="left"/>
      <w:pPr>
        <w:tabs>
          <w:tab w:val="num" w:pos="1588"/>
        </w:tabs>
        <w:ind w:left="1588" w:hanging="454"/>
      </w:pPr>
      <w:rPr>
        <w:rFonts w:ascii="Symbol" w:hAnsi="Symbol" w:hint="default"/>
      </w:rPr>
    </w:lvl>
    <w:lvl w:ilvl="2">
      <w:start w:val="1"/>
      <w:numFmt w:val="none"/>
      <w:pStyle w:val="NumtextBullet3"/>
      <w:suff w:val="nothing"/>
      <w:lvlText w:val=""/>
      <w:lvlJc w:val="left"/>
      <w:pPr>
        <w:ind w:left="1588" w:firstLine="0"/>
      </w:pPr>
      <w:rPr>
        <w:rFonts w:hint="default"/>
      </w:rPr>
    </w:lvl>
    <w:lvl w:ilvl="3">
      <w:start w:val="1"/>
      <w:numFmt w:val="none"/>
      <w:lvlText w:val="%4"/>
      <w:lvlJc w:val="left"/>
      <w:pPr>
        <w:tabs>
          <w:tab w:val="num" w:pos="3119"/>
        </w:tabs>
        <w:ind w:left="3119" w:hanging="567"/>
      </w:pPr>
      <w:rPr>
        <w:rFonts w:hint="default"/>
      </w:rPr>
    </w:lvl>
    <w:lvl w:ilvl="4">
      <w:start w:val="1"/>
      <w:numFmt w:val="none"/>
      <w:lvlText w:val="%5"/>
      <w:lvlJc w:val="left"/>
      <w:pPr>
        <w:tabs>
          <w:tab w:val="num" w:pos="3544"/>
        </w:tabs>
        <w:ind w:left="3544" w:hanging="567"/>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5">
    <w:nsid w:val="5942009A"/>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97B1544"/>
    <w:multiLevelType w:val="hybridMultilevel"/>
    <w:tmpl w:val="159EAA2A"/>
    <w:lvl w:ilvl="0" w:tplc="08090005">
      <w:start w:val="1"/>
      <w:numFmt w:val="bullet"/>
      <w:lvlText w:val=""/>
      <w:lvlJc w:val="left"/>
      <w:pPr>
        <w:tabs>
          <w:tab w:val="num" w:pos="709"/>
        </w:tabs>
        <w:ind w:left="709" w:hanging="360"/>
      </w:pPr>
      <w:rPr>
        <w:rFonts w:ascii="Wingdings" w:hAnsi="Wingdings"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5DC33EE4"/>
    <w:multiLevelType w:val="hybridMultilevel"/>
    <w:tmpl w:val="FE3A7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841EF9"/>
    <w:multiLevelType w:val="hybridMultilevel"/>
    <w:tmpl w:val="B1325618"/>
    <w:lvl w:ilvl="0" w:tplc="720EDDE2">
      <w:start w:val="1"/>
      <w:numFmt w:val="lowerLetter"/>
      <w:lvlText w:val="%1)"/>
      <w:lvlJc w:val="left"/>
      <w:pPr>
        <w:tabs>
          <w:tab w:val="num" w:pos="328"/>
        </w:tabs>
        <w:ind w:left="328"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11A799A"/>
    <w:multiLevelType w:val="multilevel"/>
    <w:tmpl w:val="B42EF10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1361705"/>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775449F"/>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81530D0"/>
    <w:multiLevelType w:val="multilevel"/>
    <w:tmpl w:val="B832E686"/>
    <w:lvl w:ilvl="0">
      <w:start w:val="1"/>
      <w:numFmt w:val="none"/>
      <w:pStyle w:val="ListStartNumtextBodytext"/>
      <w:suff w:val="nothing"/>
      <w:lvlText w:val=""/>
      <w:lvlJc w:val="left"/>
      <w:pPr>
        <w:ind w:left="-284" w:firstLine="284"/>
      </w:pPr>
      <w:rPr>
        <w:rFonts w:hint="default"/>
      </w:rPr>
    </w:lvl>
    <w:lvl w:ilvl="1">
      <w:start w:val="1"/>
      <w:numFmt w:val="decimal"/>
      <w:pStyle w:val="Numtext1-Bodytextlevel1"/>
      <w:lvlText w:val="%2."/>
      <w:lvlJc w:val="left"/>
      <w:pPr>
        <w:tabs>
          <w:tab w:val="num" w:pos="680"/>
        </w:tabs>
        <w:ind w:left="680" w:hanging="680"/>
      </w:pPr>
      <w:rPr>
        <w:rFonts w:hint="default"/>
      </w:rPr>
    </w:lvl>
    <w:lvl w:ilvl="2">
      <w:start w:val="1"/>
      <w:numFmt w:val="lowerLetter"/>
      <w:pStyle w:val="Numtexta-Bodytextlevel2"/>
      <w:lvlText w:val="(%3)"/>
      <w:lvlJc w:val="left"/>
      <w:pPr>
        <w:tabs>
          <w:tab w:val="num" w:pos="1134"/>
        </w:tabs>
        <w:ind w:left="1134" w:hanging="454"/>
      </w:pPr>
      <w:rPr>
        <w:rFonts w:hint="default"/>
      </w:rPr>
    </w:lvl>
    <w:lvl w:ilvl="3">
      <w:start w:val="1"/>
      <w:numFmt w:val="lowerRoman"/>
      <w:pStyle w:val="Numtexti-Bodytextlevel3"/>
      <w:lvlText w:val="(%4)"/>
      <w:lvlJc w:val="left"/>
      <w:pPr>
        <w:tabs>
          <w:tab w:val="num" w:pos="1588"/>
        </w:tabs>
        <w:ind w:left="1588" w:hanging="454"/>
      </w:pPr>
      <w:rPr>
        <w:rFonts w:hint="default"/>
      </w:rPr>
    </w:lvl>
    <w:lvl w:ilvl="4">
      <w:start w:val="1"/>
      <w:numFmt w:val="none"/>
      <w:suff w:val="nothing"/>
      <w:lvlText w:val=""/>
      <w:lvlJc w:val="left"/>
      <w:pPr>
        <w:ind w:left="1588"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3">
    <w:nsid w:val="68542B41"/>
    <w:multiLevelType w:val="hybridMultilevel"/>
    <w:tmpl w:val="1612F6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54101B"/>
    <w:multiLevelType w:val="hybridMultilevel"/>
    <w:tmpl w:val="1556F1AC"/>
    <w:lvl w:ilvl="0" w:tplc="2DE6373C">
      <w:start w:val="1"/>
      <w:numFmt w:val="lowerLetter"/>
      <w:lvlText w:val="%1)"/>
      <w:lvlJc w:val="left"/>
      <w:pPr>
        <w:tabs>
          <w:tab w:val="num" w:pos="1070"/>
        </w:tabs>
        <w:ind w:left="107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CF7069C"/>
    <w:multiLevelType w:val="hybridMultilevel"/>
    <w:tmpl w:val="8F1A50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71E779F4"/>
    <w:multiLevelType w:val="multilevel"/>
    <w:tmpl w:val="1612F6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D06C22"/>
    <w:multiLevelType w:val="hybridMultilevel"/>
    <w:tmpl w:val="7E54DC5A"/>
    <w:lvl w:ilvl="0" w:tplc="834684FE">
      <w:start w:val="2"/>
      <w:numFmt w:val="bullet"/>
      <w:lvlText w:val=""/>
      <w:lvlJc w:val="left"/>
      <w:pPr>
        <w:tabs>
          <w:tab w:val="num" w:pos="349"/>
        </w:tabs>
        <w:ind w:left="349" w:hanging="360"/>
      </w:pPr>
      <w:rPr>
        <w:rFonts w:ascii="Symbol" w:eastAsia="Times New Roman" w:hAnsi="Symbol" w:cs="Times New Roman" w:hint="default"/>
      </w:rPr>
    </w:lvl>
    <w:lvl w:ilvl="1" w:tplc="08090003">
      <w:start w:val="1"/>
      <w:numFmt w:val="bullet"/>
      <w:lvlText w:val="o"/>
      <w:lvlJc w:val="left"/>
      <w:pPr>
        <w:tabs>
          <w:tab w:val="num" w:pos="1069"/>
        </w:tabs>
        <w:ind w:left="1069" w:hanging="360"/>
      </w:pPr>
      <w:rPr>
        <w:rFonts w:ascii="Courier New" w:hAnsi="Courier New" w:cs="Courier New" w:hint="default"/>
      </w:rPr>
    </w:lvl>
    <w:lvl w:ilvl="2" w:tplc="08090005" w:tentative="1">
      <w:start w:val="1"/>
      <w:numFmt w:val="bullet"/>
      <w:lvlText w:val=""/>
      <w:lvlJc w:val="left"/>
      <w:pPr>
        <w:tabs>
          <w:tab w:val="num" w:pos="1789"/>
        </w:tabs>
        <w:ind w:left="1789" w:hanging="360"/>
      </w:pPr>
      <w:rPr>
        <w:rFonts w:ascii="Wingdings" w:hAnsi="Wingdings" w:hint="default"/>
      </w:rPr>
    </w:lvl>
    <w:lvl w:ilvl="3" w:tplc="08090001" w:tentative="1">
      <w:start w:val="1"/>
      <w:numFmt w:val="bullet"/>
      <w:lvlText w:val=""/>
      <w:lvlJc w:val="left"/>
      <w:pPr>
        <w:tabs>
          <w:tab w:val="num" w:pos="2509"/>
        </w:tabs>
        <w:ind w:left="2509" w:hanging="360"/>
      </w:pPr>
      <w:rPr>
        <w:rFonts w:ascii="Symbol" w:hAnsi="Symbol" w:hint="default"/>
      </w:rPr>
    </w:lvl>
    <w:lvl w:ilvl="4" w:tplc="08090003" w:tentative="1">
      <w:start w:val="1"/>
      <w:numFmt w:val="bullet"/>
      <w:lvlText w:val="o"/>
      <w:lvlJc w:val="left"/>
      <w:pPr>
        <w:tabs>
          <w:tab w:val="num" w:pos="3229"/>
        </w:tabs>
        <w:ind w:left="3229" w:hanging="360"/>
      </w:pPr>
      <w:rPr>
        <w:rFonts w:ascii="Courier New" w:hAnsi="Courier New" w:cs="Courier New" w:hint="default"/>
      </w:rPr>
    </w:lvl>
    <w:lvl w:ilvl="5" w:tplc="08090005" w:tentative="1">
      <w:start w:val="1"/>
      <w:numFmt w:val="bullet"/>
      <w:lvlText w:val=""/>
      <w:lvlJc w:val="left"/>
      <w:pPr>
        <w:tabs>
          <w:tab w:val="num" w:pos="3949"/>
        </w:tabs>
        <w:ind w:left="3949" w:hanging="360"/>
      </w:pPr>
      <w:rPr>
        <w:rFonts w:ascii="Wingdings" w:hAnsi="Wingdings" w:hint="default"/>
      </w:rPr>
    </w:lvl>
    <w:lvl w:ilvl="6" w:tplc="08090001" w:tentative="1">
      <w:start w:val="1"/>
      <w:numFmt w:val="bullet"/>
      <w:lvlText w:val=""/>
      <w:lvlJc w:val="left"/>
      <w:pPr>
        <w:tabs>
          <w:tab w:val="num" w:pos="4669"/>
        </w:tabs>
        <w:ind w:left="4669" w:hanging="360"/>
      </w:pPr>
      <w:rPr>
        <w:rFonts w:ascii="Symbol" w:hAnsi="Symbol" w:hint="default"/>
      </w:rPr>
    </w:lvl>
    <w:lvl w:ilvl="7" w:tplc="08090003" w:tentative="1">
      <w:start w:val="1"/>
      <w:numFmt w:val="bullet"/>
      <w:lvlText w:val="o"/>
      <w:lvlJc w:val="left"/>
      <w:pPr>
        <w:tabs>
          <w:tab w:val="num" w:pos="5389"/>
        </w:tabs>
        <w:ind w:left="5389" w:hanging="360"/>
      </w:pPr>
      <w:rPr>
        <w:rFonts w:ascii="Courier New" w:hAnsi="Courier New" w:cs="Courier New" w:hint="default"/>
      </w:rPr>
    </w:lvl>
    <w:lvl w:ilvl="8" w:tplc="08090005" w:tentative="1">
      <w:start w:val="1"/>
      <w:numFmt w:val="bullet"/>
      <w:lvlText w:val=""/>
      <w:lvlJc w:val="left"/>
      <w:pPr>
        <w:tabs>
          <w:tab w:val="num" w:pos="6109"/>
        </w:tabs>
        <w:ind w:left="6109" w:hanging="360"/>
      </w:pPr>
      <w:rPr>
        <w:rFonts w:ascii="Wingdings" w:hAnsi="Wingdings" w:hint="default"/>
      </w:rPr>
    </w:lvl>
  </w:abstractNum>
  <w:abstractNum w:abstractNumId="38">
    <w:nsid w:val="74A36511"/>
    <w:multiLevelType w:val="hybridMultilevel"/>
    <w:tmpl w:val="12A8F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D42C82"/>
    <w:multiLevelType w:val="hybridMultilevel"/>
    <w:tmpl w:val="4796C6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51552C"/>
    <w:multiLevelType w:val="hybridMultilevel"/>
    <w:tmpl w:val="B860E5B0"/>
    <w:lvl w:ilvl="0" w:tplc="162C1418">
      <w:start w:val="1"/>
      <w:numFmt w:val="decimal"/>
      <w:lvlText w:val="%1."/>
      <w:lvlJc w:val="left"/>
      <w:pPr>
        <w:tabs>
          <w:tab w:val="num" w:pos="720"/>
        </w:tabs>
        <w:ind w:left="720" w:hanging="720"/>
      </w:pPr>
      <w:rPr>
        <w:rFonts w:ascii="Verdana" w:hAnsi="Verdana" w:hint="default"/>
        <w:b w:val="0"/>
        <w:i w:val="0"/>
        <w:sz w:val="20"/>
        <w:szCs w:val="20"/>
      </w:rPr>
    </w:lvl>
    <w:lvl w:ilvl="1" w:tplc="742C493A">
      <w:start w:val="1"/>
      <w:numFmt w:val="lowerLetter"/>
      <w:lvlText w:val="%2)"/>
      <w:lvlJc w:val="left"/>
      <w:pPr>
        <w:tabs>
          <w:tab w:val="num" w:pos="328"/>
        </w:tabs>
        <w:ind w:left="328" w:hanging="360"/>
      </w:pPr>
      <w:rPr>
        <w:i w:val="0"/>
      </w:rPr>
    </w:lvl>
    <w:lvl w:ilvl="2" w:tplc="CEDC4284">
      <w:start w:val="1"/>
      <w:numFmt w:val="decimal"/>
      <w:lvlText w:val="(%3)"/>
      <w:lvlJc w:val="left"/>
      <w:pPr>
        <w:tabs>
          <w:tab w:val="num" w:pos="1588"/>
        </w:tabs>
        <w:ind w:left="1588" w:hanging="720"/>
      </w:pPr>
      <w:rPr>
        <w:rFonts w:hint="default"/>
      </w:rPr>
    </w:lvl>
    <w:lvl w:ilvl="3" w:tplc="0409000F" w:tentative="1">
      <w:start w:val="1"/>
      <w:numFmt w:val="decimal"/>
      <w:lvlText w:val="%4."/>
      <w:lvlJc w:val="left"/>
      <w:pPr>
        <w:tabs>
          <w:tab w:val="num" w:pos="1768"/>
        </w:tabs>
        <w:ind w:left="1768" w:hanging="360"/>
      </w:pPr>
    </w:lvl>
    <w:lvl w:ilvl="4" w:tplc="04090019" w:tentative="1">
      <w:start w:val="1"/>
      <w:numFmt w:val="lowerLetter"/>
      <w:lvlText w:val="%5."/>
      <w:lvlJc w:val="left"/>
      <w:pPr>
        <w:tabs>
          <w:tab w:val="num" w:pos="2488"/>
        </w:tabs>
        <w:ind w:left="2488" w:hanging="360"/>
      </w:pPr>
    </w:lvl>
    <w:lvl w:ilvl="5" w:tplc="0409001B" w:tentative="1">
      <w:start w:val="1"/>
      <w:numFmt w:val="lowerRoman"/>
      <w:lvlText w:val="%6."/>
      <w:lvlJc w:val="right"/>
      <w:pPr>
        <w:tabs>
          <w:tab w:val="num" w:pos="3208"/>
        </w:tabs>
        <w:ind w:left="3208" w:hanging="180"/>
      </w:pPr>
    </w:lvl>
    <w:lvl w:ilvl="6" w:tplc="0409000F" w:tentative="1">
      <w:start w:val="1"/>
      <w:numFmt w:val="decimal"/>
      <w:lvlText w:val="%7."/>
      <w:lvlJc w:val="left"/>
      <w:pPr>
        <w:tabs>
          <w:tab w:val="num" w:pos="3928"/>
        </w:tabs>
        <w:ind w:left="3928" w:hanging="360"/>
      </w:pPr>
    </w:lvl>
    <w:lvl w:ilvl="7" w:tplc="04090019" w:tentative="1">
      <w:start w:val="1"/>
      <w:numFmt w:val="lowerLetter"/>
      <w:lvlText w:val="%8."/>
      <w:lvlJc w:val="left"/>
      <w:pPr>
        <w:tabs>
          <w:tab w:val="num" w:pos="4648"/>
        </w:tabs>
        <w:ind w:left="4648" w:hanging="360"/>
      </w:pPr>
    </w:lvl>
    <w:lvl w:ilvl="8" w:tplc="0409001B" w:tentative="1">
      <w:start w:val="1"/>
      <w:numFmt w:val="lowerRoman"/>
      <w:lvlText w:val="%9."/>
      <w:lvlJc w:val="right"/>
      <w:pPr>
        <w:tabs>
          <w:tab w:val="num" w:pos="5368"/>
        </w:tabs>
        <w:ind w:left="5368" w:hanging="180"/>
      </w:pPr>
    </w:lvl>
  </w:abstractNum>
  <w:abstractNum w:abstractNumId="41">
    <w:nsid w:val="7B176338"/>
    <w:multiLevelType w:val="hybridMultilevel"/>
    <w:tmpl w:val="DFF082E2"/>
    <w:lvl w:ilvl="0" w:tplc="04090017">
      <w:start w:val="1"/>
      <w:numFmt w:val="lowerLetter"/>
      <w:lvlText w:val="%1)"/>
      <w:lvlJc w:val="left"/>
      <w:pPr>
        <w:tabs>
          <w:tab w:val="num" w:pos="328"/>
        </w:tabs>
        <w:ind w:left="328"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0"/>
  </w:num>
  <w:num w:numId="2">
    <w:abstractNumId w:val="26"/>
  </w:num>
  <w:num w:numId="3">
    <w:abstractNumId w:val="37"/>
  </w:num>
  <w:num w:numId="4">
    <w:abstractNumId w:val="19"/>
  </w:num>
  <w:num w:numId="5">
    <w:abstractNumId w:val="9"/>
  </w:num>
  <w:num w:numId="6">
    <w:abstractNumId w:val="33"/>
  </w:num>
  <w:num w:numId="7">
    <w:abstractNumId w:val="6"/>
  </w:num>
  <w:num w:numId="8">
    <w:abstractNumId w:val="39"/>
  </w:num>
  <w:num w:numId="9">
    <w:abstractNumId w:val="36"/>
  </w:num>
  <w:num w:numId="10">
    <w:abstractNumId w:val="23"/>
  </w:num>
  <w:num w:numId="11">
    <w:abstractNumId w:val="5"/>
  </w:num>
  <w:num w:numId="12">
    <w:abstractNumId w:val="20"/>
  </w:num>
  <w:num w:numId="13">
    <w:abstractNumId w:val="10"/>
  </w:num>
  <w:num w:numId="14">
    <w:abstractNumId w:val="4"/>
  </w:num>
  <w:num w:numId="15">
    <w:abstractNumId w:val="29"/>
  </w:num>
  <w:num w:numId="16">
    <w:abstractNumId w:val="16"/>
  </w:num>
  <w:num w:numId="17">
    <w:abstractNumId w:val="15"/>
  </w:num>
  <w:num w:numId="18">
    <w:abstractNumId w:val="38"/>
  </w:num>
  <w:num w:numId="19">
    <w:abstractNumId w:val="7"/>
  </w:num>
  <w:num w:numId="20">
    <w:abstractNumId w:val="11"/>
  </w:num>
  <w:num w:numId="21">
    <w:abstractNumId w:val="18"/>
  </w:num>
  <w:num w:numId="22">
    <w:abstractNumId w:val="28"/>
  </w:num>
  <w:num w:numId="23">
    <w:abstractNumId w:val="13"/>
  </w:num>
  <w:num w:numId="24">
    <w:abstractNumId w:val="3"/>
  </w:num>
  <w:num w:numId="25">
    <w:abstractNumId w:val="31"/>
  </w:num>
  <w:num w:numId="26">
    <w:abstractNumId w:val="25"/>
  </w:num>
  <w:num w:numId="27">
    <w:abstractNumId w:val="22"/>
  </w:num>
  <w:num w:numId="28">
    <w:abstractNumId w:val="12"/>
  </w:num>
  <w:num w:numId="29">
    <w:abstractNumId w:val="41"/>
  </w:num>
  <w:num w:numId="30">
    <w:abstractNumId w:val="17"/>
  </w:num>
  <w:num w:numId="31">
    <w:abstractNumId w:val="8"/>
  </w:num>
  <w:num w:numId="32">
    <w:abstractNumId w:val="34"/>
  </w:num>
  <w:num w:numId="33">
    <w:abstractNumId w:val="1"/>
  </w:num>
  <w:num w:numId="34">
    <w:abstractNumId w:val="24"/>
  </w:num>
  <w:num w:numId="35">
    <w:abstractNumId w:val="32"/>
  </w:num>
  <w:num w:numId="36">
    <w:abstractNumId w:val="35"/>
  </w:num>
  <w:num w:numId="37">
    <w:abstractNumId w:val="14"/>
  </w:num>
  <w:num w:numId="38">
    <w:abstractNumId w:val="27"/>
  </w:num>
  <w:num w:numId="39">
    <w:abstractNumId w:val="2"/>
  </w:num>
  <w:num w:numId="40">
    <w:abstractNumId w:val="0"/>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2"/>
  </w:num>
  <w:num w:numId="46">
    <w:abstractNumId w:val="3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C"/>
    <w:rsid w:val="00000D45"/>
    <w:rsid w:val="00001DC7"/>
    <w:rsid w:val="00001E17"/>
    <w:rsid w:val="00004B2A"/>
    <w:rsid w:val="00005F58"/>
    <w:rsid w:val="00007718"/>
    <w:rsid w:val="00007A84"/>
    <w:rsid w:val="00007B8E"/>
    <w:rsid w:val="00012B96"/>
    <w:rsid w:val="0001338D"/>
    <w:rsid w:val="00013457"/>
    <w:rsid w:val="000150D9"/>
    <w:rsid w:val="0001572F"/>
    <w:rsid w:val="0001792A"/>
    <w:rsid w:val="00021E1B"/>
    <w:rsid w:val="00021E3F"/>
    <w:rsid w:val="000250A6"/>
    <w:rsid w:val="00025800"/>
    <w:rsid w:val="000279D8"/>
    <w:rsid w:val="000304FA"/>
    <w:rsid w:val="00030F3E"/>
    <w:rsid w:val="000315C7"/>
    <w:rsid w:val="000329DB"/>
    <w:rsid w:val="0003375A"/>
    <w:rsid w:val="00036643"/>
    <w:rsid w:val="00036F9F"/>
    <w:rsid w:val="00037571"/>
    <w:rsid w:val="000376EF"/>
    <w:rsid w:val="00037A6F"/>
    <w:rsid w:val="00037D95"/>
    <w:rsid w:val="00040142"/>
    <w:rsid w:val="00040D28"/>
    <w:rsid w:val="00040EF8"/>
    <w:rsid w:val="00041C82"/>
    <w:rsid w:val="00042730"/>
    <w:rsid w:val="000428A0"/>
    <w:rsid w:val="000437A3"/>
    <w:rsid w:val="00043E87"/>
    <w:rsid w:val="000453CC"/>
    <w:rsid w:val="0004558F"/>
    <w:rsid w:val="00046B3F"/>
    <w:rsid w:val="000479D8"/>
    <w:rsid w:val="00047C2B"/>
    <w:rsid w:val="00047D94"/>
    <w:rsid w:val="00050709"/>
    <w:rsid w:val="00051835"/>
    <w:rsid w:val="0005287C"/>
    <w:rsid w:val="00054590"/>
    <w:rsid w:val="00055F9E"/>
    <w:rsid w:val="000565F1"/>
    <w:rsid w:val="000615B0"/>
    <w:rsid w:val="00061A58"/>
    <w:rsid w:val="00061B29"/>
    <w:rsid w:val="00063B0E"/>
    <w:rsid w:val="00065B76"/>
    <w:rsid w:val="000676E0"/>
    <w:rsid w:val="00072190"/>
    <w:rsid w:val="00073C75"/>
    <w:rsid w:val="0007408A"/>
    <w:rsid w:val="00074764"/>
    <w:rsid w:val="00076529"/>
    <w:rsid w:val="000767A8"/>
    <w:rsid w:val="00076937"/>
    <w:rsid w:val="00076F32"/>
    <w:rsid w:val="00077141"/>
    <w:rsid w:val="000820AC"/>
    <w:rsid w:val="000834D4"/>
    <w:rsid w:val="00083B6D"/>
    <w:rsid w:val="00084169"/>
    <w:rsid w:val="00085AD8"/>
    <w:rsid w:val="00085F87"/>
    <w:rsid w:val="00086229"/>
    <w:rsid w:val="00087496"/>
    <w:rsid w:val="00087FD9"/>
    <w:rsid w:val="00090240"/>
    <w:rsid w:val="000918BC"/>
    <w:rsid w:val="00091B42"/>
    <w:rsid w:val="00092DEE"/>
    <w:rsid w:val="000975DD"/>
    <w:rsid w:val="00097F72"/>
    <w:rsid w:val="000A0422"/>
    <w:rsid w:val="000A0B66"/>
    <w:rsid w:val="000A269E"/>
    <w:rsid w:val="000A5A60"/>
    <w:rsid w:val="000A5AC9"/>
    <w:rsid w:val="000A5FD1"/>
    <w:rsid w:val="000A6BCA"/>
    <w:rsid w:val="000A6FFC"/>
    <w:rsid w:val="000A7752"/>
    <w:rsid w:val="000B0BE0"/>
    <w:rsid w:val="000B159F"/>
    <w:rsid w:val="000B3AE4"/>
    <w:rsid w:val="000B44FA"/>
    <w:rsid w:val="000B4882"/>
    <w:rsid w:val="000B5CDB"/>
    <w:rsid w:val="000B7616"/>
    <w:rsid w:val="000C34BA"/>
    <w:rsid w:val="000D1131"/>
    <w:rsid w:val="000D47A0"/>
    <w:rsid w:val="000D5FD9"/>
    <w:rsid w:val="000D621E"/>
    <w:rsid w:val="000D6EA3"/>
    <w:rsid w:val="000D7A7B"/>
    <w:rsid w:val="000E017A"/>
    <w:rsid w:val="000E026E"/>
    <w:rsid w:val="000E1DEA"/>
    <w:rsid w:val="000E249C"/>
    <w:rsid w:val="000E4ED4"/>
    <w:rsid w:val="000F26B1"/>
    <w:rsid w:val="000F3BA9"/>
    <w:rsid w:val="000F3CD0"/>
    <w:rsid w:val="000F3D06"/>
    <w:rsid w:val="000F6516"/>
    <w:rsid w:val="00100539"/>
    <w:rsid w:val="00100820"/>
    <w:rsid w:val="001021ED"/>
    <w:rsid w:val="00102C41"/>
    <w:rsid w:val="00102E2E"/>
    <w:rsid w:val="00103102"/>
    <w:rsid w:val="001032D4"/>
    <w:rsid w:val="00103B48"/>
    <w:rsid w:val="001050EE"/>
    <w:rsid w:val="00105772"/>
    <w:rsid w:val="00105961"/>
    <w:rsid w:val="00105C3E"/>
    <w:rsid w:val="00107263"/>
    <w:rsid w:val="001118E9"/>
    <w:rsid w:val="001158A6"/>
    <w:rsid w:val="00117A81"/>
    <w:rsid w:val="001200FC"/>
    <w:rsid w:val="00121447"/>
    <w:rsid w:val="00124DEC"/>
    <w:rsid w:val="00124E58"/>
    <w:rsid w:val="00124FA7"/>
    <w:rsid w:val="00125C7B"/>
    <w:rsid w:val="0012765C"/>
    <w:rsid w:val="0012780B"/>
    <w:rsid w:val="0013132F"/>
    <w:rsid w:val="001333E1"/>
    <w:rsid w:val="00133800"/>
    <w:rsid w:val="00133FFF"/>
    <w:rsid w:val="001344E7"/>
    <w:rsid w:val="001344EC"/>
    <w:rsid w:val="00135A1F"/>
    <w:rsid w:val="00136479"/>
    <w:rsid w:val="00137A9F"/>
    <w:rsid w:val="00140677"/>
    <w:rsid w:val="00142275"/>
    <w:rsid w:val="00143D85"/>
    <w:rsid w:val="00144375"/>
    <w:rsid w:val="0014549E"/>
    <w:rsid w:val="001457DC"/>
    <w:rsid w:val="00147AAA"/>
    <w:rsid w:val="001510D5"/>
    <w:rsid w:val="0015132C"/>
    <w:rsid w:val="00151772"/>
    <w:rsid w:val="00151DA9"/>
    <w:rsid w:val="001538C4"/>
    <w:rsid w:val="00153B97"/>
    <w:rsid w:val="00153C89"/>
    <w:rsid w:val="0015567A"/>
    <w:rsid w:val="00155A6C"/>
    <w:rsid w:val="001560AD"/>
    <w:rsid w:val="0015701B"/>
    <w:rsid w:val="00160463"/>
    <w:rsid w:val="00160F4B"/>
    <w:rsid w:val="00164B6E"/>
    <w:rsid w:val="00166143"/>
    <w:rsid w:val="00166A48"/>
    <w:rsid w:val="0016793A"/>
    <w:rsid w:val="00172F93"/>
    <w:rsid w:val="00175F54"/>
    <w:rsid w:val="00181B4F"/>
    <w:rsid w:val="00181F47"/>
    <w:rsid w:val="00182336"/>
    <w:rsid w:val="001827DE"/>
    <w:rsid w:val="0018286C"/>
    <w:rsid w:val="001839CA"/>
    <w:rsid w:val="00184CD5"/>
    <w:rsid w:val="001851B3"/>
    <w:rsid w:val="00186774"/>
    <w:rsid w:val="00186F0A"/>
    <w:rsid w:val="00186FED"/>
    <w:rsid w:val="00187C97"/>
    <w:rsid w:val="00187D82"/>
    <w:rsid w:val="0019024A"/>
    <w:rsid w:val="001928EF"/>
    <w:rsid w:val="001942B1"/>
    <w:rsid w:val="00195218"/>
    <w:rsid w:val="001955F3"/>
    <w:rsid w:val="00195798"/>
    <w:rsid w:val="00196096"/>
    <w:rsid w:val="00197112"/>
    <w:rsid w:val="001A2402"/>
    <w:rsid w:val="001A2833"/>
    <w:rsid w:val="001A2B5D"/>
    <w:rsid w:val="001A3176"/>
    <w:rsid w:val="001A32C2"/>
    <w:rsid w:val="001A4DB3"/>
    <w:rsid w:val="001A5122"/>
    <w:rsid w:val="001A59C6"/>
    <w:rsid w:val="001A712E"/>
    <w:rsid w:val="001A79DB"/>
    <w:rsid w:val="001A7DA2"/>
    <w:rsid w:val="001B0715"/>
    <w:rsid w:val="001B3EE8"/>
    <w:rsid w:val="001C14B3"/>
    <w:rsid w:val="001C168B"/>
    <w:rsid w:val="001C2B80"/>
    <w:rsid w:val="001C3B28"/>
    <w:rsid w:val="001C4BBE"/>
    <w:rsid w:val="001C54E9"/>
    <w:rsid w:val="001C6636"/>
    <w:rsid w:val="001D0470"/>
    <w:rsid w:val="001D0639"/>
    <w:rsid w:val="001D2E4A"/>
    <w:rsid w:val="001D5F19"/>
    <w:rsid w:val="001D74C4"/>
    <w:rsid w:val="001D7F32"/>
    <w:rsid w:val="001E065B"/>
    <w:rsid w:val="001E09FC"/>
    <w:rsid w:val="001E262F"/>
    <w:rsid w:val="001E3D19"/>
    <w:rsid w:val="001E3F58"/>
    <w:rsid w:val="001E4877"/>
    <w:rsid w:val="001E4E7E"/>
    <w:rsid w:val="001E6B3E"/>
    <w:rsid w:val="001E725D"/>
    <w:rsid w:val="001E7294"/>
    <w:rsid w:val="001E7B3A"/>
    <w:rsid w:val="001E7EC7"/>
    <w:rsid w:val="001E7F3B"/>
    <w:rsid w:val="001F115D"/>
    <w:rsid w:val="001F2DDD"/>
    <w:rsid w:val="001F37FA"/>
    <w:rsid w:val="001F5A35"/>
    <w:rsid w:val="001F7C06"/>
    <w:rsid w:val="001F7C1E"/>
    <w:rsid w:val="002000A1"/>
    <w:rsid w:val="00200125"/>
    <w:rsid w:val="002008C1"/>
    <w:rsid w:val="00202B63"/>
    <w:rsid w:val="00204263"/>
    <w:rsid w:val="0020533D"/>
    <w:rsid w:val="00206797"/>
    <w:rsid w:val="002067F2"/>
    <w:rsid w:val="00206C17"/>
    <w:rsid w:val="00211F44"/>
    <w:rsid w:val="0021203B"/>
    <w:rsid w:val="00215910"/>
    <w:rsid w:val="00220DBF"/>
    <w:rsid w:val="002213CF"/>
    <w:rsid w:val="00222945"/>
    <w:rsid w:val="00223278"/>
    <w:rsid w:val="0022379A"/>
    <w:rsid w:val="00223B97"/>
    <w:rsid w:val="002258BC"/>
    <w:rsid w:val="0022629A"/>
    <w:rsid w:val="00226459"/>
    <w:rsid w:val="00226B80"/>
    <w:rsid w:val="00230D73"/>
    <w:rsid w:val="0023472C"/>
    <w:rsid w:val="002348CF"/>
    <w:rsid w:val="00235561"/>
    <w:rsid w:val="00235E81"/>
    <w:rsid w:val="002371E1"/>
    <w:rsid w:val="002408CF"/>
    <w:rsid w:val="002410E2"/>
    <w:rsid w:val="00242010"/>
    <w:rsid w:val="0024237E"/>
    <w:rsid w:val="00242AF4"/>
    <w:rsid w:val="00243669"/>
    <w:rsid w:val="00244999"/>
    <w:rsid w:val="00244C04"/>
    <w:rsid w:val="00245C16"/>
    <w:rsid w:val="002532F8"/>
    <w:rsid w:val="00253FB2"/>
    <w:rsid w:val="00254970"/>
    <w:rsid w:val="00256623"/>
    <w:rsid w:val="00260EA9"/>
    <w:rsid w:val="00261F5E"/>
    <w:rsid w:val="002623CB"/>
    <w:rsid w:val="00265517"/>
    <w:rsid w:val="00265C9D"/>
    <w:rsid w:val="00267640"/>
    <w:rsid w:val="00271D08"/>
    <w:rsid w:val="00271F45"/>
    <w:rsid w:val="00272CB1"/>
    <w:rsid w:val="002758A0"/>
    <w:rsid w:val="00276518"/>
    <w:rsid w:val="0027682C"/>
    <w:rsid w:val="0027799B"/>
    <w:rsid w:val="00277BC2"/>
    <w:rsid w:val="002839AB"/>
    <w:rsid w:val="00284793"/>
    <w:rsid w:val="002850C6"/>
    <w:rsid w:val="0028647D"/>
    <w:rsid w:val="002864B5"/>
    <w:rsid w:val="00286DA6"/>
    <w:rsid w:val="002943F5"/>
    <w:rsid w:val="00294FC1"/>
    <w:rsid w:val="00295286"/>
    <w:rsid w:val="00296A97"/>
    <w:rsid w:val="00296D77"/>
    <w:rsid w:val="0029782B"/>
    <w:rsid w:val="00297B19"/>
    <w:rsid w:val="00297BDF"/>
    <w:rsid w:val="00297C39"/>
    <w:rsid w:val="002A7973"/>
    <w:rsid w:val="002B12DF"/>
    <w:rsid w:val="002B1A9E"/>
    <w:rsid w:val="002B1BCA"/>
    <w:rsid w:val="002B506B"/>
    <w:rsid w:val="002B5E2E"/>
    <w:rsid w:val="002B72A6"/>
    <w:rsid w:val="002C151E"/>
    <w:rsid w:val="002C1709"/>
    <w:rsid w:val="002C29A0"/>
    <w:rsid w:val="002C3C1A"/>
    <w:rsid w:val="002C4954"/>
    <w:rsid w:val="002C5565"/>
    <w:rsid w:val="002C64D1"/>
    <w:rsid w:val="002C742F"/>
    <w:rsid w:val="002C7CF9"/>
    <w:rsid w:val="002D2385"/>
    <w:rsid w:val="002D5715"/>
    <w:rsid w:val="002D5751"/>
    <w:rsid w:val="002D58DF"/>
    <w:rsid w:val="002D60BC"/>
    <w:rsid w:val="002D6971"/>
    <w:rsid w:val="002E0C00"/>
    <w:rsid w:val="002E103E"/>
    <w:rsid w:val="002E116F"/>
    <w:rsid w:val="002E222D"/>
    <w:rsid w:val="002E3608"/>
    <w:rsid w:val="002E3CF8"/>
    <w:rsid w:val="002E4EB6"/>
    <w:rsid w:val="002E5AC3"/>
    <w:rsid w:val="002E65D4"/>
    <w:rsid w:val="002E6AB2"/>
    <w:rsid w:val="002F7BE8"/>
    <w:rsid w:val="0030005C"/>
    <w:rsid w:val="003006EA"/>
    <w:rsid w:val="00302224"/>
    <w:rsid w:val="003041A3"/>
    <w:rsid w:val="0030781C"/>
    <w:rsid w:val="00307FD7"/>
    <w:rsid w:val="00312874"/>
    <w:rsid w:val="00312FBF"/>
    <w:rsid w:val="00313041"/>
    <w:rsid w:val="003131D7"/>
    <w:rsid w:val="00314AA2"/>
    <w:rsid w:val="00316615"/>
    <w:rsid w:val="00317AC3"/>
    <w:rsid w:val="00320D35"/>
    <w:rsid w:val="003240B7"/>
    <w:rsid w:val="0032539F"/>
    <w:rsid w:val="003268E6"/>
    <w:rsid w:val="00327559"/>
    <w:rsid w:val="00327E21"/>
    <w:rsid w:val="00330FCF"/>
    <w:rsid w:val="00332066"/>
    <w:rsid w:val="003328E8"/>
    <w:rsid w:val="00332A35"/>
    <w:rsid w:val="003334B7"/>
    <w:rsid w:val="0033355F"/>
    <w:rsid w:val="00333E0C"/>
    <w:rsid w:val="003361F2"/>
    <w:rsid w:val="00336741"/>
    <w:rsid w:val="00337113"/>
    <w:rsid w:val="00337577"/>
    <w:rsid w:val="00340694"/>
    <w:rsid w:val="003410FE"/>
    <w:rsid w:val="003417A4"/>
    <w:rsid w:val="0034183E"/>
    <w:rsid w:val="00341B98"/>
    <w:rsid w:val="00342654"/>
    <w:rsid w:val="00342E93"/>
    <w:rsid w:val="00343066"/>
    <w:rsid w:val="003436DC"/>
    <w:rsid w:val="00343D8F"/>
    <w:rsid w:val="0034723F"/>
    <w:rsid w:val="003473BC"/>
    <w:rsid w:val="003475FB"/>
    <w:rsid w:val="00350439"/>
    <w:rsid w:val="003506CA"/>
    <w:rsid w:val="00350EED"/>
    <w:rsid w:val="00351CA0"/>
    <w:rsid w:val="00352378"/>
    <w:rsid w:val="003527DB"/>
    <w:rsid w:val="00353136"/>
    <w:rsid w:val="0035592F"/>
    <w:rsid w:val="00360D87"/>
    <w:rsid w:val="00360E32"/>
    <w:rsid w:val="00361244"/>
    <w:rsid w:val="00361D22"/>
    <w:rsid w:val="00361E26"/>
    <w:rsid w:val="00361F50"/>
    <w:rsid w:val="00362E72"/>
    <w:rsid w:val="0036312D"/>
    <w:rsid w:val="00363EFA"/>
    <w:rsid w:val="00366042"/>
    <w:rsid w:val="003666AA"/>
    <w:rsid w:val="00370076"/>
    <w:rsid w:val="00370C7F"/>
    <w:rsid w:val="00371071"/>
    <w:rsid w:val="003715A0"/>
    <w:rsid w:val="00371E27"/>
    <w:rsid w:val="00373D32"/>
    <w:rsid w:val="0038063B"/>
    <w:rsid w:val="003832E4"/>
    <w:rsid w:val="0038450F"/>
    <w:rsid w:val="00385A2E"/>
    <w:rsid w:val="00385AA7"/>
    <w:rsid w:val="0038678E"/>
    <w:rsid w:val="00390006"/>
    <w:rsid w:val="00391F29"/>
    <w:rsid w:val="00393036"/>
    <w:rsid w:val="00393462"/>
    <w:rsid w:val="00393549"/>
    <w:rsid w:val="003939B5"/>
    <w:rsid w:val="00394273"/>
    <w:rsid w:val="00394388"/>
    <w:rsid w:val="0039467B"/>
    <w:rsid w:val="00395EE9"/>
    <w:rsid w:val="003A1D39"/>
    <w:rsid w:val="003A2D19"/>
    <w:rsid w:val="003A3C11"/>
    <w:rsid w:val="003A4899"/>
    <w:rsid w:val="003A4ED0"/>
    <w:rsid w:val="003A5A81"/>
    <w:rsid w:val="003A6515"/>
    <w:rsid w:val="003B0450"/>
    <w:rsid w:val="003B0FE7"/>
    <w:rsid w:val="003B23D8"/>
    <w:rsid w:val="003B3636"/>
    <w:rsid w:val="003B5E33"/>
    <w:rsid w:val="003B6832"/>
    <w:rsid w:val="003B751D"/>
    <w:rsid w:val="003C036E"/>
    <w:rsid w:val="003C0F86"/>
    <w:rsid w:val="003C229A"/>
    <w:rsid w:val="003C2410"/>
    <w:rsid w:val="003C3034"/>
    <w:rsid w:val="003C5AD2"/>
    <w:rsid w:val="003C5D1D"/>
    <w:rsid w:val="003C638A"/>
    <w:rsid w:val="003C6E4A"/>
    <w:rsid w:val="003D04B1"/>
    <w:rsid w:val="003D07ED"/>
    <w:rsid w:val="003D07F9"/>
    <w:rsid w:val="003D4183"/>
    <w:rsid w:val="003D62B9"/>
    <w:rsid w:val="003D73B8"/>
    <w:rsid w:val="003E01DE"/>
    <w:rsid w:val="003E04B8"/>
    <w:rsid w:val="003E0510"/>
    <w:rsid w:val="003E0981"/>
    <w:rsid w:val="003E241E"/>
    <w:rsid w:val="003E24EB"/>
    <w:rsid w:val="003E3BF6"/>
    <w:rsid w:val="003E4C3C"/>
    <w:rsid w:val="003E62BA"/>
    <w:rsid w:val="003E709A"/>
    <w:rsid w:val="003F032E"/>
    <w:rsid w:val="003F15E4"/>
    <w:rsid w:val="003F1E18"/>
    <w:rsid w:val="003F76AA"/>
    <w:rsid w:val="003F7C40"/>
    <w:rsid w:val="0040072F"/>
    <w:rsid w:val="00400AAB"/>
    <w:rsid w:val="00401D65"/>
    <w:rsid w:val="0040387A"/>
    <w:rsid w:val="00404DA3"/>
    <w:rsid w:val="00406EAD"/>
    <w:rsid w:val="00406F31"/>
    <w:rsid w:val="00407CB5"/>
    <w:rsid w:val="00410FE6"/>
    <w:rsid w:val="00411D14"/>
    <w:rsid w:val="0041242B"/>
    <w:rsid w:val="00412E91"/>
    <w:rsid w:val="00415712"/>
    <w:rsid w:val="00417C47"/>
    <w:rsid w:val="00420891"/>
    <w:rsid w:val="004209C6"/>
    <w:rsid w:val="00420E2E"/>
    <w:rsid w:val="004217D5"/>
    <w:rsid w:val="004228BB"/>
    <w:rsid w:val="00424EF3"/>
    <w:rsid w:val="004254A0"/>
    <w:rsid w:val="004274D9"/>
    <w:rsid w:val="0043066A"/>
    <w:rsid w:val="00431582"/>
    <w:rsid w:val="00431FE3"/>
    <w:rsid w:val="00432AF9"/>
    <w:rsid w:val="00434AB0"/>
    <w:rsid w:val="0043534B"/>
    <w:rsid w:val="00436269"/>
    <w:rsid w:val="00442F2A"/>
    <w:rsid w:val="00442FFD"/>
    <w:rsid w:val="00443398"/>
    <w:rsid w:val="00443922"/>
    <w:rsid w:val="00443A5A"/>
    <w:rsid w:val="004452E9"/>
    <w:rsid w:val="00446544"/>
    <w:rsid w:val="0044656F"/>
    <w:rsid w:val="00447BEA"/>
    <w:rsid w:val="00447FD3"/>
    <w:rsid w:val="00450A23"/>
    <w:rsid w:val="00452B08"/>
    <w:rsid w:val="00453833"/>
    <w:rsid w:val="004555EB"/>
    <w:rsid w:val="004575AB"/>
    <w:rsid w:val="00460788"/>
    <w:rsid w:val="00462B70"/>
    <w:rsid w:val="00463323"/>
    <w:rsid w:val="00463939"/>
    <w:rsid w:val="004639C0"/>
    <w:rsid w:val="00464490"/>
    <w:rsid w:val="00466645"/>
    <w:rsid w:val="00467156"/>
    <w:rsid w:val="004678F3"/>
    <w:rsid w:val="0046798F"/>
    <w:rsid w:val="00467BBB"/>
    <w:rsid w:val="00470A60"/>
    <w:rsid w:val="00471C45"/>
    <w:rsid w:val="0047325B"/>
    <w:rsid w:val="004737F6"/>
    <w:rsid w:val="004740F8"/>
    <w:rsid w:val="00476394"/>
    <w:rsid w:val="004778DF"/>
    <w:rsid w:val="00480A83"/>
    <w:rsid w:val="00481108"/>
    <w:rsid w:val="00481744"/>
    <w:rsid w:val="00482F3E"/>
    <w:rsid w:val="00482FFB"/>
    <w:rsid w:val="004841AC"/>
    <w:rsid w:val="00484293"/>
    <w:rsid w:val="004850B1"/>
    <w:rsid w:val="0048716F"/>
    <w:rsid w:val="00487221"/>
    <w:rsid w:val="00487908"/>
    <w:rsid w:val="00487CB7"/>
    <w:rsid w:val="004907AB"/>
    <w:rsid w:val="00490A5D"/>
    <w:rsid w:val="00490DAE"/>
    <w:rsid w:val="00490FCC"/>
    <w:rsid w:val="004928E9"/>
    <w:rsid w:val="0049392C"/>
    <w:rsid w:val="004943BB"/>
    <w:rsid w:val="00495C4D"/>
    <w:rsid w:val="004A402B"/>
    <w:rsid w:val="004A4E17"/>
    <w:rsid w:val="004A4F23"/>
    <w:rsid w:val="004A532A"/>
    <w:rsid w:val="004A676C"/>
    <w:rsid w:val="004A68F3"/>
    <w:rsid w:val="004A7335"/>
    <w:rsid w:val="004A733D"/>
    <w:rsid w:val="004B0142"/>
    <w:rsid w:val="004B038A"/>
    <w:rsid w:val="004B03B5"/>
    <w:rsid w:val="004B1496"/>
    <w:rsid w:val="004B181A"/>
    <w:rsid w:val="004B4D8E"/>
    <w:rsid w:val="004C0A2E"/>
    <w:rsid w:val="004C1160"/>
    <w:rsid w:val="004C6334"/>
    <w:rsid w:val="004C7F09"/>
    <w:rsid w:val="004D3E80"/>
    <w:rsid w:val="004D6F07"/>
    <w:rsid w:val="004E06DF"/>
    <w:rsid w:val="004E091E"/>
    <w:rsid w:val="004E2A9B"/>
    <w:rsid w:val="004E50C2"/>
    <w:rsid w:val="004E5E2D"/>
    <w:rsid w:val="004E5FFF"/>
    <w:rsid w:val="004E6908"/>
    <w:rsid w:val="004E7CD5"/>
    <w:rsid w:val="004F0841"/>
    <w:rsid w:val="004F2978"/>
    <w:rsid w:val="004F31AC"/>
    <w:rsid w:val="004F47A9"/>
    <w:rsid w:val="004F4E86"/>
    <w:rsid w:val="004F4F6D"/>
    <w:rsid w:val="004F7B44"/>
    <w:rsid w:val="0050495B"/>
    <w:rsid w:val="00504E5A"/>
    <w:rsid w:val="005052C6"/>
    <w:rsid w:val="005052E5"/>
    <w:rsid w:val="00506257"/>
    <w:rsid w:val="00506701"/>
    <w:rsid w:val="00507213"/>
    <w:rsid w:val="00507A85"/>
    <w:rsid w:val="00511112"/>
    <w:rsid w:val="00514260"/>
    <w:rsid w:val="005147D0"/>
    <w:rsid w:val="00514C9D"/>
    <w:rsid w:val="00515FA2"/>
    <w:rsid w:val="00517779"/>
    <w:rsid w:val="00517813"/>
    <w:rsid w:val="005214D8"/>
    <w:rsid w:val="00522DFC"/>
    <w:rsid w:val="00523222"/>
    <w:rsid w:val="00523397"/>
    <w:rsid w:val="005244AA"/>
    <w:rsid w:val="00524A56"/>
    <w:rsid w:val="005252BE"/>
    <w:rsid w:val="00526A0D"/>
    <w:rsid w:val="005277DE"/>
    <w:rsid w:val="00527D36"/>
    <w:rsid w:val="00531A32"/>
    <w:rsid w:val="0053277A"/>
    <w:rsid w:val="00533D34"/>
    <w:rsid w:val="005359A2"/>
    <w:rsid w:val="00535D4A"/>
    <w:rsid w:val="0053672C"/>
    <w:rsid w:val="0054251A"/>
    <w:rsid w:val="00542F2F"/>
    <w:rsid w:val="00543DE5"/>
    <w:rsid w:val="005445EE"/>
    <w:rsid w:val="00544BF0"/>
    <w:rsid w:val="005459C1"/>
    <w:rsid w:val="00546022"/>
    <w:rsid w:val="00550D32"/>
    <w:rsid w:val="00551048"/>
    <w:rsid w:val="00551C81"/>
    <w:rsid w:val="0055285E"/>
    <w:rsid w:val="00553067"/>
    <w:rsid w:val="00553B72"/>
    <w:rsid w:val="00556760"/>
    <w:rsid w:val="0055695E"/>
    <w:rsid w:val="00556989"/>
    <w:rsid w:val="00557D91"/>
    <w:rsid w:val="005607DA"/>
    <w:rsid w:val="00560BDB"/>
    <w:rsid w:val="0056135D"/>
    <w:rsid w:val="00561473"/>
    <w:rsid w:val="0056300B"/>
    <w:rsid w:val="0056469F"/>
    <w:rsid w:val="005707C6"/>
    <w:rsid w:val="005717DD"/>
    <w:rsid w:val="00571C37"/>
    <w:rsid w:val="00572435"/>
    <w:rsid w:val="005724E3"/>
    <w:rsid w:val="00572536"/>
    <w:rsid w:val="00573241"/>
    <w:rsid w:val="00573BF8"/>
    <w:rsid w:val="00573E01"/>
    <w:rsid w:val="00576A8B"/>
    <w:rsid w:val="00576BCD"/>
    <w:rsid w:val="00581AC7"/>
    <w:rsid w:val="00582068"/>
    <w:rsid w:val="0058266F"/>
    <w:rsid w:val="00584286"/>
    <w:rsid w:val="005861B3"/>
    <w:rsid w:val="0058731C"/>
    <w:rsid w:val="0058749A"/>
    <w:rsid w:val="00590664"/>
    <w:rsid w:val="005916C1"/>
    <w:rsid w:val="00593157"/>
    <w:rsid w:val="005931A7"/>
    <w:rsid w:val="005939A0"/>
    <w:rsid w:val="00594813"/>
    <w:rsid w:val="005950C3"/>
    <w:rsid w:val="0059511E"/>
    <w:rsid w:val="00595976"/>
    <w:rsid w:val="005976F5"/>
    <w:rsid w:val="005A1313"/>
    <w:rsid w:val="005A1F2B"/>
    <w:rsid w:val="005A30C2"/>
    <w:rsid w:val="005A3A09"/>
    <w:rsid w:val="005A5ABC"/>
    <w:rsid w:val="005A6C43"/>
    <w:rsid w:val="005B1847"/>
    <w:rsid w:val="005B1966"/>
    <w:rsid w:val="005B2814"/>
    <w:rsid w:val="005B4D0E"/>
    <w:rsid w:val="005B4D8B"/>
    <w:rsid w:val="005B552C"/>
    <w:rsid w:val="005B718C"/>
    <w:rsid w:val="005B7783"/>
    <w:rsid w:val="005C060A"/>
    <w:rsid w:val="005C0BC6"/>
    <w:rsid w:val="005C142F"/>
    <w:rsid w:val="005C2165"/>
    <w:rsid w:val="005C2191"/>
    <w:rsid w:val="005C257F"/>
    <w:rsid w:val="005C3BF2"/>
    <w:rsid w:val="005C4EE6"/>
    <w:rsid w:val="005C5EA8"/>
    <w:rsid w:val="005C67F2"/>
    <w:rsid w:val="005C7B85"/>
    <w:rsid w:val="005D03A6"/>
    <w:rsid w:val="005D1942"/>
    <w:rsid w:val="005D1CF0"/>
    <w:rsid w:val="005D2C5E"/>
    <w:rsid w:val="005D3461"/>
    <w:rsid w:val="005D4ED3"/>
    <w:rsid w:val="005D5DD6"/>
    <w:rsid w:val="005D6D21"/>
    <w:rsid w:val="005D70E9"/>
    <w:rsid w:val="005D7A34"/>
    <w:rsid w:val="005E0C15"/>
    <w:rsid w:val="005E1F63"/>
    <w:rsid w:val="005E2143"/>
    <w:rsid w:val="005E266F"/>
    <w:rsid w:val="005E39FC"/>
    <w:rsid w:val="005E4993"/>
    <w:rsid w:val="005E4EA0"/>
    <w:rsid w:val="005E522E"/>
    <w:rsid w:val="005E72EE"/>
    <w:rsid w:val="005E742A"/>
    <w:rsid w:val="005F1A9A"/>
    <w:rsid w:val="005F20B7"/>
    <w:rsid w:val="005F2586"/>
    <w:rsid w:val="005F2948"/>
    <w:rsid w:val="005F56EE"/>
    <w:rsid w:val="00600D90"/>
    <w:rsid w:val="00601A89"/>
    <w:rsid w:val="00602381"/>
    <w:rsid w:val="006025F2"/>
    <w:rsid w:val="00602EEE"/>
    <w:rsid w:val="006039E8"/>
    <w:rsid w:val="006040E8"/>
    <w:rsid w:val="00606149"/>
    <w:rsid w:val="0060759C"/>
    <w:rsid w:val="00607F9C"/>
    <w:rsid w:val="00610BF4"/>
    <w:rsid w:val="00610FDF"/>
    <w:rsid w:val="00611097"/>
    <w:rsid w:val="006111CF"/>
    <w:rsid w:val="006133B9"/>
    <w:rsid w:val="00614E50"/>
    <w:rsid w:val="0061579E"/>
    <w:rsid w:val="00620B62"/>
    <w:rsid w:val="006228CE"/>
    <w:rsid w:val="00626B23"/>
    <w:rsid w:val="00627E54"/>
    <w:rsid w:val="00633508"/>
    <w:rsid w:val="0063378A"/>
    <w:rsid w:val="00635563"/>
    <w:rsid w:val="006355C2"/>
    <w:rsid w:val="0063716A"/>
    <w:rsid w:val="0063799E"/>
    <w:rsid w:val="00640700"/>
    <w:rsid w:val="006410B4"/>
    <w:rsid w:val="00641732"/>
    <w:rsid w:val="006419D8"/>
    <w:rsid w:val="006451F5"/>
    <w:rsid w:val="00645320"/>
    <w:rsid w:val="00645580"/>
    <w:rsid w:val="00645D39"/>
    <w:rsid w:val="00650473"/>
    <w:rsid w:val="00650816"/>
    <w:rsid w:val="00650E93"/>
    <w:rsid w:val="00653A4A"/>
    <w:rsid w:val="00655292"/>
    <w:rsid w:val="0065573A"/>
    <w:rsid w:val="0065674B"/>
    <w:rsid w:val="00660D83"/>
    <w:rsid w:val="00663714"/>
    <w:rsid w:val="0066533D"/>
    <w:rsid w:val="0066569A"/>
    <w:rsid w:val="0066701A"/>
    <w:rsid w:val="0067099E"/>
    <w:rsid w:val="006713D1"/>
    <w:rsid w:val="00672F99"/>
    <w:rsid w:val="006735BF"/>
    <w:rsid w:val="00673EBF"/>
    <w:rsid w:val="00677E22"/>
    <w:rsid w:val="00680CFF"/>
    <w:rsid w:val="00681250"/>
    <w:rsid w:val="00681559"/>
    <w:rsid w:val="0068276B"/>
    <w:rsid w:val="00683A55"/>
    <w:rsid w:val="00683E64"/>
    <w:rsid w:val="00683E9C"/>
    <w:rsid w:val="00685177"/>
    <w:rsid w:val="0068520E"/>
    <w:rsid w:val="0068704F"/>
    <w:rsid w:val="00694ACF"/>
    <w:rsid w:val="0069574C"/>
    <w:rsid w:val="00696143"/>
    <w:rsid w:val="00696219"/>
    <w:rsid w:val="00697911"/>
    <w:rsid w:val="006A0008"/>
    <w:rsid w:val="006A04AE"/>
    <w:rsid w:val="006A05CD"/>
    <w:rsid w:val="006A11C6"/>
    <w:rsid w:val="006A27C6"/>
    <w:rsid w:val="006A3A9B"/>
    <w:rsid w:val="006A4E6F"/>
    <w:rsid w:val="006A5E78"/>
    <w:rsid w:val="006A73DA"/>
    <w:rsid w:val="006B40A3"/>
    <w:rsid w:val="006B533F"/>
    <w:rsid w:val="006B5A9E"/>
    <w:rsid w:val="006B6511"/>
    <w:rsid w:val="006B7794"/>
    <w:rsid w:val="006B7E37"/>
    <w:rsid w:val="006C04F5"/>
    <w:rsid w:val="006C367B"/>
    <w:rsid w:val="006C4590"/>
    <w:rsid w:val="006C5E89"/>
    <w:rsid w:val="006C7B94"/>
    <w:rsid w:val="006D0ECB"/>
    <w:rsid w:val="006D25AF"/>
    <w:rsid w:val="006D3A5A"/>
    <w:rsid w:val="006D4B79"/>
    <w:rsid w:val="006D4C5F"/>
    <w:rsid w:val="006D5965"/>
    <w:rsid w:val="006D6824"/>
    <w:rsid w:val="006D7B2A"/>
    <w:rsid w:val="006E0DE9"/>
    <w:rsid w:val="006E0E49"/>
    <w:rsid w:val="006E0F62"/>
    <w:rsid w:val="006E44BA"/>
    <w:rsid w:val="006E7818"/>
    <w:rsid w:val="006F01CA"/>
    <w:rsid w:val="006F0C8F"/>
    <w:rsid w:val="006F11EB"/>
    <w:rsid w:val="006F2470"/>
    <w:rsid w:val="006F2718"/>
    <w:rsid w:val="006F2C36"/>
    <w:rsid w:val="006F3433"/>
    <w:rsid w:val="006F4060"/>
    <w:rsid w:val="006F62BC"/>
    <w:rsid w:val="006F6B30"/>
    <w:rsid w:val="006F6E8A"/>
    <w:rsid w:val="006F7464"/>
    <w:rsid w:val="006F7834"/>
    <w:rsid w:val="006F78EA"/>
    <w:rsid w:val="00700D4B"/>
    <w:rsid w:val="0070143F"/>
    <w:rsid w:val="00702530"/>
    <w:rsid w:val="00702F2E"/>
    <w:rsid w:val="00703079"/>
    <w:rsid w:val="00705FDB"/>
    <w:rsid w:val="00707F23"/>
    <w:rsid w:val="00710AF6"/>
    <w:rsid w:val="007115CA"/>
    <w:rsid w:val="00712E0C"/>
    <w:rsid w:val="007149B6"/>
    <w:rsid w:val="00717B54"/>
    <w:rsid w:val="00717C62"/>
    <w:rsid w:val="0072006A"/>
    <w:rsid w:val="00722389"/>
    <w:rsid w:val="007251BC"/>
    <w:rsid w:val="00725672"/>
    <w:rsid w:val="007264C5"/>
    <w:rsid w:val="00726BB7"/>
    <w:rsid w:val="00730644"/>
    <w:rsid w:val="00730662"/>
    <w:rsid w:val="007317B2"/>
    <w:rsid w:val="00732492"/>
    <w:rsid w:val="007330E8"/>
    <w:rsid w:val="00733267"/>
    <w:rsid w:val="00734B44"/>
    <w:rsid w:val="007358C8"/>
    <w:rsid w:val="00735AC9"/>
    <w:rsid w:val="00735CBD"/>
    <w:rsid w:val="00735E18"/>
    <w:rsid w:val="007366B4"/>
    <w:rsid w:val="00737042"/>
    <w:rsid w:val="0074080A"/>
    <w:rsid w:val="007415D0"/>
    <w:rsid w:val="00743149"/>
    <w:rsid w:val="00745E4E"/>
    <w:rsid w:val="007466DF"/>
    <w:rsid w:val="00746EBD"/>
    <w:rsid w:val="007470C0"/>
    <w:rsid w:val="007509ED"/>
    <w:rsid w:val="00750E5E"/>
    <w:rsid w:val="00751867"/>
    <w:rsid w:val="007535A9"/>
    <w:rsid w:val="007538EC"/>
    <w:rsid w:val="0075390B"/>
    <w:rsid w:val="007541F0"/>
    <w:rsid w:val="007544AE"/>
    <w:rsid w:val="007544F3"/>
    <w:rsid w:val="00754C0A"/>
    <w:rsid w:val="00755575"/>
    <w:rsid w:val="007559CC"/>
    <w:rsid w:val="00755FB5"/>
    <w:rsid w:val="007561D9"/>
    <w:rsid w:val="007564C9"/>
    <w:rsid w:val="0075661B"/>
    <w:rsid w:val="0075678D"/>
    <w:rsid w:val="00756E16"/>
    <w:rsid w:val="007570C9"/>
    <w:rsid w:val="00761829"/>
    <w:rsid w:val="00763F4E"/>
    <w:rsid w:val="0076460F"/>
    <w:rsid w:val="007654AC"/>
    <w:rsid w:val="007660A9"/>
    <w:rsid w:val="00766233"/>
    <w:rsid w:val="007667EB"/>
    <w:rsid w:val="00766A3C"/>
    <w:rsid w:val="007737B1"/>
    <w:rsid w:val="0077435D"/>
    <w:rsid w:val="007744EF"/>
    <w:rsid w:val="00774632"/>
    <w:rsid w:val="0077629C"/>
    <w:rsid w:val="0077660C"/>
    <w:rsid w:val="007768C1"/>
    <w:rsid w:val="00776E92"/>
    <w:rsid w:val="0077701A"/>
    <w:rsid w:val="00777CCA"/>
    <w:rsid w:val="007808B6"/>
    <w:rsid w:val="00781BC9"/>
    <w:rsid w:val="007822DC"/>
    <w:rsid w:val="00784F2F"/>
    <w:rsid w:val="00786FE9"/>
    <w:rsid w:val="00787A8C"/>
    <w:rsid w:val="00787F9C"/>
    <w:rsid w:val="007919B9"/>
    <w:rsid w:val="00795729"/>
    <w:rsid w:val="00796722"/>
    <w:rsid w:val="00796CFD"/>
    <w:rsid w:val="007A0550"/>
    <w:rsid w:val="007A07FE"/>
    <w:rsid w:val="007A1861"/>
    <w:rsid w:val="007A2B90"/>
    <w:rsid w:val="007A53AF"/>
    <w:rsid w:val="007A5D78"/>
    <w:rsid w:val="007A61C1"/>
    <w:rsid w:val="007A6DF2"/>
    <w:rsid w:val="007A6F2A"/>
    <w:rsid w:val="007B01E1"/>
    <w:rsid w:val="007B177C"/>
    <w:rsid w:val="007B3503"/>
    <w:rsid w:val="007B35BB"/>
    <w:rsid w:val="007B4CB4"/>
    <w:rsid w:val="007B4D85"/>
    <w:rsid w:val="007B536C"/>
    <w:rsid w:val="007B588D"/>
    <w:rsid w:val="007B66A4"/>
    <w:rsid w:val="007C097E"/>
    <w:rsid w:val="007C135F"/>
    <w:rsid w:val="007C15BD"/>
    <w:rsid w:val="007C17FF"/>
    <w:rsid w:val="007C1ED1"/>
    <w:rsid w:val="007C35A5"/>
    <w:rsid w:val="007C3B5F"/>
    <w:rsid w:val="007C52C8"/>
    <w:rsid w:val="007C5602"/>
    <w:rsid w:val="007C7A75"/>
    <w:rsid w:val="007D06FE"/>
    <w:rsid w:val="007D151F"/>
    <w:rsid w:val="007D4087"/>
    <w:rsid w:val="007D42F4"/>
    <w:rsid w:val="007D4980"/>
    <w:rsid w:val="007D4AA3"/>
    <w:rsid w:val="007D5829"/>
    <w:rsid w:val="007D6A00"/>
    <w:rsid w:val="007D6ECA"/>
    <w:rsid w:val="007E1C31"/>
    <w:rsid w:val="007E31AA"/>
    <w:rsid w:val="007E35EA"/>
    <w:rsid w:val="007E4017"/>
    <w:rsid w:val="007E4B38"/>
    <w:rsid w:val="007E4BE0"/>
    <w:rsid w:val="007E5368"/>
    <w:rsid w:val="007E6188"/>
    <w:rsid w:val="007E6D49"/>
    <w:rsid w:val="007F24A3"/>
    <w:rsid w:val="007F24C1"/>
    <w:rsid w:val="007F334A"/>
    <w:rsid w:val="007F494C"/>
    <w:rsid w:val="007F4BD8"/>
    <w:rsid w:val="007F6754"/>
    <w:rsid w:val="007F68FC"/>
    <w:rsid w:val="007F6FBF"/>
    <w:rsid w:val="007F786C"/>
    <w:rsid w:val="00800A01"/>
    <w:rsid w:val="00800DEF"/>
    <w:rsid w:val="008019C3"/>
    <w:rsid w:val="00802452"/>
    <w:rsid w:val="00802932"/>
    <w:rsid w:val="00802BCA"/>
    <w:rsid w:val="0080457C"/>
    <w:rsid w:val="008053D8"/>
    <w:rsid w:val="008054CC"/>
    <w:rsid w:val="008057FD"/>
    <w:rsid w:val="00806153"/>
    <w:rsid w:val="00811EAB"/>
    <w:rsid w:val="00812D64"/>
    <w:rsid w:val="0081392F"/>
    <w:rsid w:val="00813C12"/>
    <w:rsid w:val="00814135"/>
    <w:rsid w:val="008146DB"/>
    <w:rsid w:val="008210C0"/>
    <w:rsid w:val="00821E94"/>
    <w:rsid w:val="00821F5E"/>
    <w:rsid w:val="008226C5"/>
    <w:rsid w:val="00822CDB"/>
    <w:rsid w:val="00823B9D"/>
    <w:rsid w:val="00825892"/>
    <w:rsid w:val="00825D74"/>
    <w:rsid w:val="00825E7B"/>
    <w:rsid w:val="00827C3C"/>
    <w:rsid w:val="00830098"/>
    <w:rsid w:val="008308E5"/>
    <w:rsid w:val="00830F77"/>
    <w:rsid w:val="00833256"/>
    <w:rsid w:val="00833679"/>
    <w:rsid w:val="00834C2F"/>
    <w:rsid w:val="00835C26"/>
    <w:rsid w:val="00836934"/>
    <w:rsid w:val="008374E0"/>
    <w:rsid w:val="00840A76"/>
    <w:rsid w:val="00841B70"/>
    <w:rsid w:val="0084213A"/>
    <w:rsid w:val="0084315B"/>
    <w:rsid w:val="008436A1"/>
    <w:rsid w:val="008467BD"/>
    <w:rsid w:val="00846AB0"/>
    <w:rsid w:val="00846B0F"/>
    <w:rsid w:val="00847439"/>
    <w:rsid w:val="00847F21"/>
    <w:rsid w:val="00850376"/>
    <w:rsid w:val="00850C5E"/>
    <w:rsid w:val="008519C9"/>
    <w:rsid w:val="00851D28"/>
    <w:rsid w:val="0085288A"/>
    <w:rsid w:val="0085361C"/>
    <w:rsid w:val="00853E74"/>
    <w:rsid w:val="00855321"/>
    <w:rsid w:val="008565E0"/>
    <w:rsid w:val="008566A2"/>
    <w:rsid w:val="008576C5"/>
    <w:rsid w:val="00860525"/>
    <w:rsid w:val="00860F4E"/>
    <w:rsid w:val="00861A4D"/>
    <w:rsid w:val="00861CE6"/>
    <w:rsid w:val="00862618"/>
    <w:rsid w:val="00863A4D"/>
    <w:rsid w:val="0086408B"/>
    <w:rsid w:val="00865CB1"/>
    <w:rsid w:val="008663BD"/>
    <w:rsid w:val="00866656"/>
    <w:rsid w:val="008677EF"/>
    <w:rsid w:val="008703E6"/>
    <w:rsid w:val="008704A4"/>
    <w:rsid w:val="008711A2"/>
    <w:rsid w:val="00872D05"/>
    <w:rsid w:val="008734A7"/>
    <w:rsid w:val="00873E64"/>
    <w:rsid w:val="00874516"/>
    <w:rsid w:val="00876470"/>
    <w:rsid w:val="008765A8"/>
    <w:rsid w:val="00877382"/>
    <w:rsid w:val="00882DE6"/>
    <w:rsid w:val="008830FD"/>
    <w:rsid w:val="0088322B"/>
    <w:rsid w:val="008856D6"/>
    <w:rsid w:val="00885A54"/>
    <w:rsid w:val="0088784D"/>
    <w:rsid w:val="00890F14"/>
    <w:rsid w:val="0089185A"/>
    <w:rsid w:val="00892206"/>
    <w:rsid w:val="00894AA7"/>
    <w:rsid w:val="008954CF"/>
    <w:rsid w:val="00896546"/>
    <w:rsid w:val="00896BAD"/>
    <w:rsid w:val="0089703F"/>
    <w:rsid w:val="00897817"/>
    <w:rsid w:val="00897AC7"/>
    <w:rsid w:val="008A0C3C"/>
    <w:rsid w:val="008A1DBF"/>
    <w:rsid w:val="008A2846"/>
    <w:rsid w:val="008A2C89"/>
    <w:rsid w:val="008A2EFE"/>
    <w:rsid w:val="008A37E0"/>
    <w:rsid w:val="008A411F"/>
    <w:rsid w:val="008A51CF"/>
    <w:rsid w:val="008A5FE9"/>
    <w:rsid w:val="008A6B30"/>
    <w:rsid w:val="008A77DA"/>
    <w:rsid w:val="008A7915"/>
    <w:rsid w:val="008B1241"/>
    <w:rsid w:val="008B2B41"/>
    <w:rsid w:val="008B42BB"/>
    <w:rsid w:val="008B43E8"/>
    <w:rsid w:val="008B4746"/>
    <w:rsid w:val="008B571A"/>
    <w:rsid w:val="008B5834"/>
    <w:rsid w:val="008B5EA5"/>
    <w:rsid w:val="008B6257"/>
    <w:rsid w:val="008B6EA9"/>
    <w:rsid w:val="008C0390"/>
    <w:rsid w:val="008C1467"/>
    <w:rsid w:val="008C1D76"/>
    <w:rsid w:val="008C2EC0"/>
    <w:rsid w:val="008C47D9"/>
    <w:rsid w:val="008C4DA9"/>
    <w:rsid w:val="008C4FC9"/>
    <w:rsid w:val="008C5130"/>
    <w:rsid w:val="008C60C6"/>
    <w:rsid w:val="008C721D"/>
    <w:rsid w:val="008D3686"/>
    <w:rsid w:val="008D48BE"/>
    <w:rsid w:val="008D51DD"/>
    <w:rsid w:val="008D591A"/>
    <w:rsid w:val="008D5D4D"/>
    <w:rsid w:val="008D742B"/>
    <w:rsid w:val="008E0DB8"/>
    <w:rsid w:val="008E1C9C"/>
    <w:rsid w:val="008E4AF8"/>
    <w:rsid w:val="008E6A11"/>
    <w:rsid w:val="008F0E66"/>
    <w:rsid w:val="008F2404"/>
    <w:rsid w:val="008F47F0"/>
    <w:rsid w:val="008F514A"/>
    <w:rsid w:val="008F5DAD"/>
    <w:rsid w:val="008F7749"/>
    <w:rsid w:val="009007DA"/>
    <w:rsid w:val="00900B09"/>
    <w:rsid w:val="00901163"/>
    <w:rsid w:val="0090237E"/>
    <w:rsid w:val="00903CA8"/>
    <w:rsid w:val="00904F0A"/>
    <w:rsid w:val="00906068"/>
    <w:rsid w:val="00907895"/>
    <w:rsid w:val="009103F7"/>
    <w:rsid w:val="00911401"/>
    <w:rsid w:val="00911EB9"/>
    <w:rsid w:val="00911F66"/>
    <w:rsid w:val="0091285B"/>
    <w:rsid w:val="00912999"/>
    <w:rsid w:val="009140AC"/>
    <w:rsid w:val="00914850"/>
    <w:rsid w:val="009153EC"/>
    <w:rsid w:val="00916E2F"/>
    <w:rsid w:val="0092112C"/>
    <w:rsid w:val="009218F5"/>
    <w:rsid w:val="00923137"/>
    <w:rsid w:val="00923575"/>
    <w:rsid w:val="00924B72"/>
    <w:rsid w:val="009304A0"/>
    <w:rsid w:val="009312C6"/>
    <w:rsid w:val="0093279B"/>
    <w:rsid w:val="00935229"/>
    <w:rsid w:val="00935E24"/>
    <w:rsid w:val="009360D9"/>
    <w:rsid w:val="00940EBC"/>
    <w:rsid w:val="00941A6D"/>
    <w:rsid w:val="00942DBC"/>
    <w:rsid w:val="00943CEF"/>
    <w:rsid w:val="009441D5"/>
    <w:rsid w:val="00944B83"/>
    <w:rsid w:val="00945AD0"/>
    <w:rsid w:val="00945E25"/>
    <w:rsid w:val="00947037"/>
    <w:rsid w:val="00953341"/>
    <w:rsid w:val="00955777"/>
    <w:rsid w:val="0095643B"/>
    <w:rsid w:val="0095783E"/>
    <w:rsid w:val="009603D0"/>
    <w:rsid w:val="00960647"/>
    <w:rsid w:val="00960F5B"/>
    <w:rsid w:val="00961CAE"/>
    <w:rsid w:val="00962411"/>
    <w:rsid w:val="00962EF3"/>
    <w:rsid w:val="009633C0"/>
    <w:rsid w:val="009659DF"/>
    <w:rsid w:val="00966C79"/>
    <w:rsid w:val="00971EBE"/>
    <w:rsid w:val="00972576"/>
    <w:rsid w:val="00972843"/>
    <w:rsid w:val="00973023"/>
    <w:rsid w:val="00973641"/>
    <w:rsid w:val="00974E22"/>
    <w:rsid w:val="009758CC"/>
    <w:rsid w:val="00975C10"/>
    <w:rsid w:val="009768A7"/>
    <w:rsid w:val="00976E35"/>
    <w:rsid w:val="00982550"/>
    <w:rsid w:val="009859D5"/>
    <w:rsid w:val="00986AE8"/>
    <w:rsid w:val="009873F5"/>
    <w:rsid w:val="009903C9"/>
    <w:rsid w:val="0099091B"/>
    <w:rsid w:val="009921BE"/>
    <w:rsid w:val="0099295A"/>
    <w:rsid w:val="00993398"/>
    <w:rsid w:val="009940C8"/>
    <w:rsid w:val="00994474"/>
    <w:rsid w:val="009946A0"/>
    <w:rsid w:val="00994B88"/>
    <w:rsid w:val="009956E7"/>
    <w:rsid w:val="00996673"/>
    <w:rsid w:val="00996927"/>
    <w:rsid w:val="00997A28"/>
    <w:rsid w:val="009A28CB"/>
    <w:rsid w:val="009A430B"/>
    <w:rsid w:val="009A5423"/>
    <w:rsid w:val="009A6A45"/>
    <w:rsid w:val="009B1873"/>
    <w:rsid w:val="009B32EB"/>
    <w:rsid w:val="009B3E4C"/>
    <w:rsid w:val="009B44C6"/>
    <w:rsid w:val="009B50F0"/>
    <w:rsid w:val="009B520A"/>
    <w:rsid w:val="009B55D4"/>
    <w:rsid w:val="009B620A"/>
    <w:rsid w:val="009B69DE"/>
    <w:rsid w:val="009B6B22"/>
    <w:rsid w:val="009B75E7"/>
    <w:rsid w:val="009C02BE"/>
    <w:rsid w:val="009C066C"/>
    <w:rsid w:val="009C2170"/>
    <w:rsid w:val="009C2756"/>
    <w:rsid w:val="009C2B65"/>
    <w:rsid w:val="009C3A8D"/>
    <w:rsid w:val="009C6BAE"/>
    <w:rsid w:val="009C6D7D"/>
    <w:rsid w:val="009C7A74"/>
    <w:rsid w:val="009D0C18"/>
    <w:rsid w:val="009D0F22"/>
    <w:rsid w:val="009D1AD7"/>
    <w:rsid w:val="009D36D1"/>
    <w:rsid w:val="009D3A50"/>
    <w:rsid w:val="009D489B"/>
    <w:rsid w:val="009D49D3"/>
    <w:rsid w:val="009D5B5D"/>
    <w:rsid w:val="009D73DB"/>
    <w:rsid w:val="009D74A2"/>
    <w:rsid w:val="009E0236"/>
    <w:rsid w:val="009E05EC"/>
    <w:rsid w:val="009E149B"/>
    <w:rsid w:val="009E199F"/>
    <w:rsid w:val="009E26DB"/>
    <w:rsid w:val="009E2B99"/>
    <w:rsid w:val="009E2BDC"/>
    <w:rsid w:val="009E4365"/>
    <w:rsid w:val="009F08E3"/>
    <w:rsid w:val="009F1526"/>
    <w:rsid w:val="009F18EC"/>
    <w:rsid w:val="009F2425"/>
    <w:rsid w:val="009F25FE"/>
    <w:rsid w:val="009F4F6E"/>
    <w:rsid w:val="009F54C7"/>
    <w:rsid w:val="009F578C"/>
    <w:rsid w:val="009F5FF7"/>
    <w:rsid w:val="009F7B6B"/>
    <w:rsid w:val="009F7C1B"/>
    <w:rsid w:val="00A00051"/>
    <w:rsid w:val="00A002BD"/>
    <w:rsid w:val="00A00822"/>
    <w:rsid w:val="00A009AE"/>
    <w:rsid w:val="00A014F1"/>
    <w:rsid w:val="00A02187"/>
    <w:rsid w:val="00A0364F"/>
    <w:rsid w:val="00A03F6E"/>
    <w:rsid w:val="00A05348"/>
    <w:rsid w:val="00A059A2"/>
    <w:rsid w:val="00A0675B"/>
    <w:rsid w:val="00A0709E"/>
    <w:rsid w:val="00A075E1"/>
    <w:rsid w:val="00A07698"/>
    <w:rsid w:val="00A07A80"/>
    <w:rsid w:val="00A10C97"/>
    <w:rsid w:val="00A10FAF"/>
    <w:rsid w:val="00A1216A"/>
    <w:rsid w:val="00A12429"/>
    <w:rsid w:val="00A1282D"/>
    <w:rsid w:val="00A12864"/>
    <w:rsid w:val="00A14693"/>
    <w:rsid w:val="00A150FA"/>
    <w:rsid w:val="00A155C5"/>
    <w:rsid w:val="00A1583B"/>
    <w:rsid w:val="00A15A3E"/>
    <w:rsid w:val="00A164DC"/>
    <w:rsid w:val="00A177AB"/>
    <w:rsid w:val="00A218A2"/>
    <w:rsid w:val="00A2194E"/>
    <w:rsid w:val="00A22B5C"/>
    <w:rsid w:val="00A233F7"/>
    <w:rsid w:val="00A235A2"/>
    <w:rsid w:val="00A2427E"/>
    <w:rsid w:val="00A254FC"/>
    <w:rsid w:val="00A26D66"/>
    <w:rsid w:val="00A303E9"/>
    <w:rsid w:val="00A3075F"/>
    <w:rsid w:val="00A335D4"/>
    <w:rsid w:val="00A3395F"/>
    <w:rsid w:val="00A352E3"/>
    <w:rsid w:val="00A35AD5"/>
    <w:rsid w:val="00A3709A"/>
    <w:rsid w:val="00A374B6"/>
    <w:rsid w:val="00A40330"/>
    <w:rsid w:val="00A407C8"/>
    <w:rsid w:val="00A421CA"/>
    <w:rsid w:val="00A42840"/>
    <w:rsid w:val="00A433F2"/>
    <w:rsid w:val="00A440AC"/>
    <w:rsid w:val="00A4571A"/>
    <w:rsid w:val="00A45A99"/>
    <w:rsid w:val="00A46E19"/>
    <w:rsid w:val="00A47B65"/>
    <w:rsid w:val="00A47B9F"/>
    <w:rsid w:val="00A50304"/>
    <w:rsid w:val="00A50DE6"/>
    <w:rsid w:val="00A51503"/>
    <w:rsid w:val="00A5191A"/>
    <w:rsid w:val="00A52AC2"/>
    <w:rsid w:val="00A52DC6"/>
    <w:rsid w:val="00A5396E"/>
    <w:rsid w:val="00A54870"/>
    <w:rsid w:val="00A550A3"/>
    <w:rsid w:val="00A56113"/>
    <w:rsid w:val="00A60864"/>
    <w:rsid w:val="00A614A1"/>
    <w:rsid w:val="00A61C95"/>
    <w:rsid w:val="00A650AD"/>
    <w:rsid w:val="00A678F4"/>
    <w:rsid w:val="00A7099B"/>
    <w:rsid w:val="00A70D27"/>
    <w:rsid w:val="00A70D89"/>
    <w:rsid w:val="00A71878"/>
    <w:rsid w:val="00A71E11"/>
    <w:rsid w:val="00A72F40"/>
    <w:rsid w:val="00A737C7"/>
    <w:rsid w:val="00A7438C"/>
    <w:rsid w:val="00A74873"/>
    <w:rsid w:val="00A74F18"/>
    <w:rsid w:val="00A7649E"/>
    <w:rsid w:val="00A7782B"/>
    <w:rsid w:val="00A81E25"/>
    <w:rsid w:val="00A82B08"/>
    <w:rsid w:val="00A83582"/>
    <w:rsid w:val="00A9212A"/>
    <w:rsid w:val="00A9305F"/>
    <w:rsid w:val="00A940A8"/>
    <w:rsid w:val="00A944FC"/>
    <w:rsid w:val="00A959D1"/>
    <w:rsid w:val="00A9640B"/>
    <w:rsid w:val="00A9724D"/>
    <w:rsid w:val="00AA1A76"/>
    <w:rsid w:val="00AA1C67"/>
    <w:rsid w:val="00AA27D4"/>
    <w:rsid w:val="00AA3AFF"/>
    <w:rsid w:val="00AA45EE"/>
    <w:rsid w:val="00AA4F02"/>
    <w:rsid w:val="00AA651A"/>
    <w:rsid w:val="00AA65B1"/>
    <w:rsid w:val="00AA69AB"/>
    <w:rsid w:val="00AA6DAA"/>
    <w:rsid w:val="00AA7163"/>
    <w:rsid w:val="00AB4831"/>
    <w:rsid w:val="00AB58ED"/>
    <w:rsid w:val="00AB75FC"/>
    <w:rsid w:val="00AC0236"/>
    <w:rsid w:val="00AC14BA"/>
    <w:rsid w:val="00AC14FE"/>
    <w:rsid w:val="00AC1BC5"/>
    <w:rsid w:val="00AC2024"/>
    <w:rsid w:val="00AC2213"/>
    <w:rsid w:val="00AC6FB6"/>
    <w:rsid w:val="00AD04D9"/>
    <w:rsid w:val="00AD2D11"/>
    <w:rsid w:val="00AD3188"/>
    <w:rsid w:val="00AD3460"/>
    <w:rsid w:val="00AD3FF9"/>
    <w:rsid w:val="00AD43C0"/>
    <w:rsid w:val="00AD6475"/>
    <w:rsid w:val="00AD6669"/>
    <w:rsid w:val="00AD7213"/>
    <w:rsid w:val="00AD7224"/>
    <w:rsid w:val="00AE1EAD"/>
    <w:rsid w:val="00AE2AF2"/>
    <w:rsid w:val="00AE6841"/>
    <w:rsid w:val="00AE6877"/>
    <w:rsid w:val="00AE6C6D"/>
    <w:rsid w:val="00AF0785"/>
    <w:rsid w:val="00AF2A39"/>
    <w:rsid w:val="00AF40D4"/>
    <w:rsid w:val="00AF4AE9"/>
    <w:rsid w:val="00AF4B8C"/>
    <w:rsid w:val="00AF5298"/>
    <w:rsid w:val="00AF5740"/>
    <w:rsid w:val="00AF6354"/>
    <w:rsid w:val="00AF7FB5"/>
    <w:rsid w:val="00B01B81"/>
    <w:rsid w:val="00B0262A"/>
    <w:rsid w:val="00B03AE0"/>
    <w:rsid w:val="00B052AE"/>
    <w:rsid w:val="00B07A45"/>
    <w:rsid w:val="00B11BF1"/>
    <w:rsid w:val="00B122BD"/>
    <w:rsid w:val="00B1414D"/>
    <w:rsid w:val="00B143A5"/>
    <w:rsid w:val="00B15205"/>
    <w:rsid w:val="00B1765A"/>
    <w:rsid w:val="00B17EC0"/>
    <w:rsid w:val="00B17F85"/>
    <w:rsid w:val="00B2025A"/>
    <w:rsid w:val="00B21D96"/>
    <w:rsid w:val="00B22521"/>
    <w:rsid w:val="00B23163"/>
    <w:rsid w:val="00B23A78"/>
    <w:rsid w:val="00B247B2"/>
    <w:rsid w:val="00B25AC6"/>
    <w:rsid w:val="00B26B1E"/>
    <w:rsid w:val="00B27A2B"/>
    <w:rsid w:val="00B27E42"/>
    <w:rsid w:val="00B30974"/>
    <w:rsid w:val="00B30C78"/>
    <w:rsid w:val="00B32CD2"/>
    <w:rsid w:val="00B36EDE"/>
    <w:rsid w:val="00B41055"/>
    <w:rsid w:val="00B41064"/>
    <w:rsid w:val="00B41BD9"/>
    <w:rsid w:val="00B41CF3"/>
    <w:rsid w:val="00B43715"/>
    <w:rsid w:val="00B44C6C"/>
    <w:rsid w:val="00B45198"/>
    <w:rsid w:val="00B46F0F"/>
    <w:rsid w:val="00B471F5"/>
    <w:rsid w:val="00B47723"/>
    <w:rsid w:val="00B504B9"/>
    <w:rsid w:val="00B51379"/>
    <w:rsid w:val="00B52178"/>
    <w:rsid w:val="00B533EB"/>
    <w:rsid w:val="00B53716"/>
    <w:rsid w:val="00B54ED2"/>
    <w:rsid w:val="00B55BFE"/>
    <w:rsid w:val="00B569A5"/>
    <w:rsid w:val="00B56E8C"/>
    <w:rsid w:val="00B572A3"/>
    <w:rsid w:val="00B575D9"/>
    <w:rsid w:val="00B60169"/>
    <w:rsid w:val="00B60D04"/>
    <w:rsid w:val="00B61471"/>
    <w:rsid w:val="00B620AF"/>
    <w:rsid w:val="00B63E8E"/>
    <w:rsid w:val="00B64288"/>
    <w:rsid w:val="00B654C8"/>
    <w:rsid w:val="00B65A3E"/>
    <w:rsid w:val="00B705B4"/>
    <w:rsid w:val="00B707E6"/>
    <w:rsid w:val="00B70D72"/>
    <w:rsid w:val="00B70DFB"/>
    <w:rsid w:val="00B70F46"/>
    <w:rsid w:val="00B71142"/>
    <w:rsid w:val="00B71737"/>
    <w:rsid w:val="00B71C7E"/>
    <w:rsid w:val="00B732E9"/>
    <w:rsid w:val="00B7676E"/>
    <w:rsid w:val="00B77215"/>
    <w:rsid w:val="00B77F48"/>
    <w:rsid w:val="00B80422"/>
    <w:rsid w:val="00B80CB6"/>
    <w:rsid w:val="00B8325C"/>
    <w:rsid w:val="00B83CA7"/>
    <w:rsid w:val="00B83E73"/>
    <w:rsid w:val="00B840F9"/>
    <w:rsid w:val="00B8485F"/>
    <w:rsid w:val="00B84B6F"/>
    <w:rsid w:val="00B864D9"/>
    <w:rsid w:val="00B864EE"/>
    <w:rsid w:val="00B90448"/>
    <w:rsid w:val="00B90705"/>
    <w:rsid w:val="00B91217"/>
    <w:rsid w:val="00B9798B"/>
    <w:rsid w:val="00B97B74"/>
    <w:rsid w:val="00BA0560"/>
    <w:rsid w:val="00BA0DB7"/>
    <w:rsid w:val="00BA3571"/>
    <w:rsid w:val="00BA3901"/>
    <w:rsid w:val="00BA69EF"/>
    <w:rsid w:val="00BB10B2"/>
    <w:rsid w:val="00BB4427"/>
    <w:rsid w:val="00BB556F"/>
    <w:rsid w:val="00BB6256"/>
    <w:rsid w:val="00BB6332"/>
    <w:rsid w:val="00BB7A9F"/>
    <w:rsid w:val="00BC0835"/>
    <w:rsid w:val="00BC272C"/>
    <w:rsid w:val="00BC2CE2"/>
    <w:rsid w:val="00BC30A5"/>
    <w:rsid w:val="00BC4532"/>
    <w:rsid w:val="00BC4DE9"/>
    <w:rsid w:val="00BC57CF"/>
    <w:rsid w:val="00BC664F"/>
    <w:rsid w:val="00BC6DA3"/>
    <w:rsid w:val="00BC71D0"/>
    <w:rsid w:val="00BD0692"/>
    <w:rsid w:val="00BD30DE"/>
    <w:rsid w:val="00BD38AB"/>
    <w:rsid w:val="00BD3AE6"/>
    <w:rsid w:val="00BD4282"/>
    <w:rsid w:val="00BD465B"/>
    <w:rsid w:val="00BD61BE"/>
    <w:rsid w:val="00BD7C3A"/>
    <w:rsid w:val="00BE05B1"/>
    <w:rsid w:val="00BE0A89"/>
    <w:rsid w:val="00BE13F8"/>
    <w:rsid w:val="00BE223B"/>
    <w:rsid w:val="00BE3434"/>
    <w:rsid w:val="00BE35ED"/>
    <w:rsid w:val="00BE387A"/>
    <w:rsid w:val="00BE480B"/>
    <w:rsid w:val="00BE53A6"/>
    <w:rsid w:val="00BE53C5"/>
    <w:rsid w:val="00BE5C2D"/>
    <w:rsid w:val="00BE6187"/>
    <w:rsid w:val="00BE6F37"/>
    <w:rsid w:val="00BF1FF8"/>
    <w:rsid w:val="00BF3E8F"/>
    <w:rsid w:val="00BF504A"/>
    <w:rsid w:val="00BF5AE9"/>
    <w:rsid w:val="00BF7496"/>
    <w:rsid w:val="00C00205"/>
    <w:rsid w:val="00C00490"/>
    <w:rsid w:val="00C0064C"/>
    <w:rsid w:val="00C00BB9"/>
    <w:rsid w:val="00C0302C"/>
    <w:rsid w:val="00C058C5"/>
    <w:rsid w:val="00C05C6E"/>
    <w:rsid w:val="00C0628F"/>
    <w:rsid w:val="00C06AFB"/>
    <w:rsid w:val="00C10AC7"/>
    <w:rsid w:val="00C11CA8"/>
    <w:rsid w:val="00C11D4D"/>
    <w:rsid w:val="00C1274B"/>
    <w:rsid w:val="00C17665"/>
    <w:rsid w:val="00C20DBA"/>
    <w:rsid w:val="00C2188C"/>
    <w:rsid w:val="00C2286C"/>
    <w:rsid w:val="00C24A10"/>
    <w:rsid w:val="00C25C20"/>
    <w:rsid w:val="00C25FDD"/>
    <w:rsid w:val="00C266DC"/>
    <w:rsid w:val="00C26928"/>
    <w:rsid w:val="00C27290"/>
    <w:rsid w:val="00C33E85"/>
    <w:rsid w:val="00C3486B"/>
    <w:rsid w:val="00C35A1A"/>
    <w:rsid w:val="00C36D9F"/>
    <w:rsid w:val="00C40B67"/>
    <w:rsid w:val="00C415CD"/>
    <w:rsid w:val="00C41AA4"/>
    <w:rsid w:val="00C46B57"/>
    <w:rsid w:val="00C47E31"/>
    <w:rsid w:val="00C47F76"/>
    <w:rsid w:val="00C50A4C"/>
    <w:rsid w:val="00C519E4"/>
    <w:rsid w:val="00C537D0"/>
    <w:rsid w:val="00C53DD8"/>
    <w:rsid w:val="00C556BB"/>
    <w:rsid w:val="00C56DF8"/>
    <w:rsid w:val="00C57B31"/>
    <w:rsid w:val="00C57BE6"/>
    <w:rsid w:val="00C605DB"/>
    <w:rsid w:val="00C6067A"/>
    <w:rsid w:val="00C60E57"/>
    <w:rsid w:val="00C64EBB"/>
    <w:rsid w:val="00C653F7"/>
    <w:rsid w:val="00C6634D"/>
    <w:rsid w:val="00C670F4"/>
    <w:rsid w:val="00C670FB"/>
    <w:rsid w:val="00C705FC"/>
    <w:rsid w:val="00C7068F"/>
    <w:rsid w:val="00C70DEC"/>
    <w:rsid w:val="00C718BB"/>
    <w:rsid w:val="00C74273"/>
    <w:rsid w:val="00C754B3"/>
    <w:rsid w:val="00C763A3"/>
    <w:rsid w:val="00C76A36"/>
    <w:rsid w:val="00C80030"/>
    <w:rsid w:val="00C823C9"/>
    <w:rsid w:val="00C8266E"/>
    <w:rsid w:val="00C82D6F"/>
    <w:rsid w:val="00C865D7"/>
    <w:rsid w:val="00C866FF"/>
    <w:rsid w:val="00C87040"/>
    <w:rsid w:val="00C8754B"/>
    <w:rsid w:val="00C91B5C"/>
    <w:rsid w:val="00C9397B"/>
    <w:rsid w:val="00C93BDC"/>
    <w:rsid w:val="00CA1D52"/>
    <w:rsid w:val="00CA2A96"/>
    <w:rsid w:val="00CA4F88"/>
    <w:rsid w:val="00CB03FE"/>
    <w:rsid w:val="00CB0CBB"/>
    <w:rsid w:val="00CB0E59"/>
    <w:rsid w:val="00CB26A8"/>
    <w:rsid w:val="00CB4A4B"/>
    <w:rsid w:val="00CB4AEA"/>
    <w:rsid w:val="00CB4E7C"/>
    <w:rsid w:val="00CB7410"/>
    <w:rsid w:val="00CB7CAE"/>
    <w:rsid w:val="00CC0344"/>
    <w:rsid w:val="00CC1342"/>
    <w:rsid w:val="00CC2B45"/>
    <w:rsid w:val="00CC45A0"/>
    <w:rsid w:val="00CC50E6"/>
    <w:rsid w:val="00CD069B"/>
    <w:rsid w:val="00CD0FAE"/>
    <w:rsid w:val="00CD33A8"/>
    <w:rsid w:val="00CD36C4"/>
    <w:rsid w:val="00CD62A9"/>
    <w:rsid w:val="00CD6351"/>
    <w:rsid w:val="00CD6505"/>
    <w:rsid w:val="00CE08A5"/>
    <w:rsid w:val="00CE257D"/>
    <w:rsid w:val="00CE28A5"/>
    <w:rsid w:val="00CE2C7A"/>
    <w:rsid w:val="00CE4D5D"/>
    <w:rsid w:val="00CE795D"/>
    <w:rsid w:val="00CE7A84"/>
    <w:rsid w:val="00CF0885"/>
    <w:rsid w:val="00CF1384"/>
    <w:rsid w:val="00CF34CF"/>
    <w:rsid w:val="00CF6D16"/>
    <w:rsid w:val="00D01804"/>
    <w:rsid w:val="00D01C19"/>
    <w:rsid w:val="00D02452"/>
    <w:rsid w:val="00D059F8"/>
    <w:rsid w:val="00D05C5F"/>
    <w:rsid w:val="00D05DDA"/>
    <w:rsid w:val="00D07D33"/>
    <w:rsid w:val="00D10447"/>
    <w:rsid w:val="00D11320"/>
    <w:rsid w:val="00D12E04"/>
    <w:rsid w:val="00D12ECB"/>
    <w:rsid w:val="00D159B7"/>
    <w:rsid w:val="00D1638E"/>
    <w:rsid w:val="00D174F9"/>
    <w:rsid w:val="00D2250A"/>
    <w:rsid w:val="00D2467E"/>
    <w:rsid w:val="00D24FE4"/>
    <w:rsid w:val="00D263B3"/>
    <w:rsid w:val="00D26433"/>
    <w:rsid w:val="00D269E5"/>
    <w:rsid w:val="00D26AD6"/>
    <w:rsid w:val="00D33735"/>
    <w:rsid w:val="00D34043"/>
    <w:rsid w:val="00D34E0A"/>
    <w:rsid w:val="00D34ED5"/>
    <w:rsid w:val="00D36075"/>
    <w:rsid w:val="00D3616C"/>
    <w:rsid w:val="00D36D40"/>
    <w:rsid w:val="00D437D5"/>
    <w:rsid w:val="00D46FF4"/>
    <w:rsid w:val="00D473C9"/>
    <w:rsid w:val="00D502D2"/>
    <w:rsid w:val="00D5057F"/>
    <w:rsid w:val="00D50D81"/>
    <w:rsid w:val="00D51AD9"/>
    <w:rsid w:val="00D534DA"/>
    <w:rsid w:val="00D5453F"/>
    <w:rsid w:val="00D56095"/>
    <w:rsid w:val="00D56B37"/>
    <w:rsid w:val="00D574E4"/>
    <w:rsid w:val="00D57DC3"/>
    <w:rsid w:val="00D60F90"/>
    <w:rsid w:val="00D61494"/>
    <w:rsid w:val="00D62C39"/>
    <w:rsid w:val="00D64456"/>
    <w:rsid w:val="00D649C4"/>
    <w:rsid w:val="00D65B90"/>
    <w:rsid w:val="00D65D90"/>
    <w:rsid w:val="00D661A4"/>
    <w:rsid w:val="00D662CF"/>
    <w:rsid w:val="00D66AD4"/>
    <w:rsid w:val="00D67FE0"/>
    <w:rsid w:val="00D706F0"/>
    <w:rsid w:val="00D71A24"/>
    <w:rsid w:val="00D721C2"/>
    <w:rsid w:val="00D72366"/>
    <w:rsid w:val="00D72A92"/>
    <w:rsid w:val="00D72F2F"/>
    <w:rsid w:val="00D73F14"/>
    <w:rsid w:val="00D7428F"/>
    <w:rsid w:val="00D75141"/>
    <w:rsid w:val="00D757F2"/>
    <w:rsid w:val="00D75B9C"/>
    <w:rsid w:val="00D7640F"/>
    <w:rsid w:val="00D77509"/>
    <w:rsid w:val="00D80C36"/>
    <w:rsid w:val="00D80E8E"/>
    <w:rsid w:val="00D81C2D"/>
    <w:rsid w:val="00D82DEE"/>
    <w:rsid w:val="00D8410B"/>
    <w:rsid w:val="00D85D0E"/>
    <w:rsid w:val="00D87D68"/>
    <w:rsid w:val="00D87FE4"/>
    <w:rsid w:val="00D90545"/>
    <w:rsid w:val="00D9235F"/>
    <w:rsid w:val="00D937A9"/>
    <w:rsid w:val="00D958F5"/>
    <w:rsid w:val="00D96EF3"/>
    <w:rsid w:val="00D97E12"/>
    <w:rsid w:val="00DA0F36"/>
    <w:rsid w:val="00DA1BAA"/>
    <w:rsid w:val="00DA4FA7"/>
    <w:rsid w:val="00DA53F2"/>
    <w:rsid w:val="00DA58C1"/>
    <w:rsid w:val="00DA7A97"/>
    <w:rsid w:val="00DA7F5D"/>
    <w:rsid w:val="00DB0396"/>
    <w:rsid w:val="00DB32AC"/>
    <w:rsid w:val="00DB396A"/>
    <w:rsid w:val="00DB3FD6"/>
    <w:rsid w:val="00DB437A"/>
    <w:rsid w:val="00DB565C"/>
    <w:rsid w:val="00DB62A5"/>
    <w:rsid w:val="00DC10DF"/>
    <w:rsid w:val="00DC4D39"/>
    <w:rsid w:val="00DC508B"/>
    <w:rsid w:val="00DC54E5"/>
    <w:rsid w:val="00DC5F0D"/>
    <w:rsid w:val="00DC6154"/>
    <w:rsid w:val="00DC743C"/>
    <w:rsid w:val="00DC7608"/>
    <w:rsid w:val="00DD0AD2"/>
    <w:rsid w:val="00DD0DBF"/>
    <w:rsid w:val="00DD248B"/>
    <w:rsid w:val="00DD348E"/>
    <w:rsid w:val="00DD47A1"/>
    <w:rsid w:val="00DD646E"/>
    <w:rsid w:val="00DD6620"/>
    <w:rsid w:val="00DD74DD"/>
    <w:rsid w:val="00DD78D3"/>
    <w:rsid w:val="00DE29E1"/>
    <w:rsid w:val="00DE3774"/>
    <w:rsid w:val="00DE41C5"/>
    <w:rsid w:val="00DE4CC2"/>
    <w:rsid w:val="00DE4E9F"/>
    <w:rsid w:val="00DE5D92"/>
    <w:rsid w:val="00DF0C4F"/>
    <w:rsid w:val="00DF0E1E"/>
    <w:rsid w:val="00DF2047"/>
    <w:rsid w:val="00DF277A"/>
    <w:rsid w:val="00DF2A03"/>
    <w:rsid w:val="00DF30CE"/>
    <w:rsid w:val="00DF3308"/>
    <w:rsid w:val="00DF3891"/>
    <w:rsid w:val="00DF56BE"/>
    <w:rsid w:val="00DF5B74"/>
    <w:rsid w:val="00DF5F54"/>
    <w:rsid w:val="00DF6D86"/>
    <w:rsid w:val="00DF7366"/>
    <w:rsid w:val="00E00270"/>
    <w:rsid w:val="00E008C6"/>
    <w:rsid w:val="00E009C2"/>
    <w:rsid w:val="00E00C8B"/>
    <w:rsid w:val="00E01692"/>
    <w:rsid w:val="00E01DD1"/>
    <w:rsid w:val="00E01EE7"/>
    <w:rsid w:val="00E02A47"/>
    <w:rsid w:val="00E02B81"/>
    <w:rsid w:val="00E02FF3"/>
    <w:rsid w:val="00E06900"/>
    <w:rsid w:val="00E06D0D"/>
    <w:rsid w:val="00E06F60"/>
    <w:rsid w:val="00E07B80"/>
    <w:rsid w:val="00E1260E"/>
    <w:rsid w:val="00E12895"/>
    <w:rsid w:val="00E1450E"/>
    <w:rsid w:val="00E14EAE"/>
    <w:rsid w:val="00E17676"/>
    <w:rsid w:val="00E178AA"/>
    <w:rsid w:val="00E20010"/>
    <w:rsid w:val="00E20CE0"/>
    <w:rsid w:val="00E2130A"/>
    <w:rsid w:val="00E21D58"/>
    <w:rsid w:val="00E23B14"/>
    <w:rsid w:val="00E24FE3"/>
    <w:rsid w:val="00E255FB"/>
    <w:rsid w:val="00E3010F"/>
    <w:rsid w:val="00E305A9"/>
    <w:rsid w:val="00E312C2"/>
    <w:rsid w:val="00E315B1"/>
    <w:rsid w:val="00E3253F"/>
    <w:rsid w:val="00E331DB"/>
    <w:rsid w:val="00E34686"/>
    <w:rsid w:val="00E35082"/>
    <w:rsid w:val="00E35484"/>
    <w:rsid w:val="00E36219"/>
    <w:rsid w:val="00E373C3"/>
    <w:rsid w:val="00E37C3C"/>
    <w:rsid w:val="00E4001C"/>
    <w:rsid w:val="00E407F8"/>
    <w:rsid w:val="00E41914"/>
    <w:rsid w:val="00E42A4D"/>
    <w:rsid w:val="00E4594C"/>
    <w:rsid w:val="00E47EAA"/>
    <w:rsid w:val="00E50246"/>
    <w:rsid w:val="00E5056C"/>
    <w:rsid w:val="00E50A5D"/>
    <w:rsid w:val="00E51981"/>
    <w:rsid w:val="00E51E65"/>
    <w:rsid w:val="00E528C4"/>
    <w:rsid w:val="00E53287"/>
    <w:rsid w:val="00E540E9"/>
    <w:rsid w:val="00E56465"/>
    <w:rsid w:val="00E5652D"/>
    <w:rsid w:val="00E57BA2"/>
    <w:rsid w:val="00E604B9"/>
    <w:rsid w:val="00E611EA"/>
    <w:rsid w:val="00E6276C"/>
    <w:rsid w:val="00E62819"/>
    <w:rsid w:val="00E6308D"/>
    <w:rsid w:val="00E631AC"/>
    <w:rsid w:val="00E63310"/>
    <w:rsid w:val="00E6364F"/>
    <w:rsid w:val="00E63C2C"/>
    <w:rsid w:val="00E63F19"/>
    <w:rsid w:val="00E653D0"/>
    <w:rsid w:val="00E66D7B"/>
    <w:rsid w:val="00E67622"/>
    <w:rsid w:val="00E70B48"/>
    <w:rsid w:val="00E72641"/>
    <w:rsid w:val="00E755C2"/>
    <w:rsid w:val="00E7561C"/>
    <w:rsid w:val="00E763EF"/>
    <w:rsid w:val="00E82738"/>
    <w:rsid w:val="00E8297E"/>
    <w:rsid w:val="00E829C0"/>
    <w:rsid w:val="00E8374A"/>
    <w:rsid w:val="00E83771"/>
    <w:rsid w:val="00E86075"/>
    <w:rsid w:val="00E860D3"/>
    <w:rsid w:val="00E8624C"/>
    <w:rsid w:val="00E91388"/>
    <w:rsid w:val="00E91458"/>
    <w:rsid w:val="00E91E35"/>
    <w:rsid w:val="00E921AD"/>
    <w:rsid w:val="00E9267B"/>
    <w:rsid w:val="00E931C5"/>
    <w:rsid w:val="00E94719"/>
    <w:rsid w:val="00E94C1A"/>
    <w:rsid w:val="00E95A1E"/>
    <w:rsid w:val="00EA03AA"/>
    <w:rsid w:val="00EA129F"/>
    <w:rsid w:val="00EA19B9"/>
    <w:rsid w:val="00EA33AA"/>
    <w:rsid w:val="00EA37D3"/>
    <w:rsid w:val="00EA50C2"/>
    <w:rsid w:val="00EA540F"/>
    <w:rsid w:val="00EA7D81"/>
    <w:rsid w:val="00EB1D6A"/>
    <w:rsid w:val="00EB1DAA"/>
    <w:rsid w:val="00EB3540"/>
    <w:rsid w:val="00EB603A"/>
    <w:rsid w:val="00EB61A5"/>
    <w:rsid w:val="00EC1648"/>
    <w:rsid w:val="00EC2261"/>
    <w:rsid w:val="00EC411F"/>
    <w:rsid w:val="00EC4BE1"/>
    <w:rsid w:val="00EC51DC"/>
    <w:rsid w:val="00EC6598"/>
    <w:rsid w:val="00ED0A8A"/>
    <w:rsid w:val="00ED0ABB"/>
    <w:rsid w:val="00ED2B2C"/>
    <w:rsid w:val="00ED353A"/>
    <w:rsid w:val="00ED3C72"/>
    <w:rsid w:val="00ED5ADE"/>
    <w:rsid w:val="00ED7FF0"/>
    <w:rsid w:val="00EE0A39"/>
    <w:rsid w:val="00EE0E7C"/>
    <w:rsid w:val="00EE2800"/>
    <w:rsid w:val="00EE2AD8"/>
    <w:rsid w:val="00EE5459"/>
    <w:rsid w:val="00EE7668"/>
    <w:rsid w:val="00EF05C1"/>
    <w:rsid w:val="00EF1F75"/>
    <w:rsid w:val="00EF29A0"/>
    <w:rsid w:val="00EF2FD5"/>
    <w:rsid w:val="00EF3660"/>
    <w:rsid w:val="00EF4849"/>
    <w:rsid w:val="00EF5FF9"/>
    <w:rsid w:val="00EF61E7"/>
    <w:rsid w:val="00F013E6"/>
    <w:rsid w:val="00F01843"/>
    <w:rsid w:val="00F04CDD"/>
    <w:rsid w:val="00F06DBC"/>
    <w:rsid w:val="00F10007"/>
    <w:rsid w:val="00F1090B"/>
    <w:rsid w:val="00F116C2"/>
    <w:rsid w:val="00F130E4"/>
    <w:rsid w:val="00F13E66"/>
    <w:rsid w:val="00F15B4B"/>
    <w:rsid w:val="00F177CB"/>
    <w:rsid w:val="00F17DC9"/>
    <w:rsid w:val="00F2175B"/>
    <w:rsid w:val="00F21EB2"/>
    <w:rsid w:val="00F23C4A"/>
    <w:rsid w:val="00F23EF6"/>
    <w:rsid w:val="00F24200"/>
    <w:rsid w:val="00F245D7"/>
    <w:rsid w:val="00F2473C"/>
    <w:rsid w:val="00F2619F"/>
    <w:rsid w:val="00F262B1"/>
    <w:rsid w:val="00F2664F"/>
    <w:rsid w:val="00F27F85"/>
    <w:rsid w:val="00F30622"/>
    <w:rsid w:val="00F311E2"/>
    <w:rsid w:val="00F326CD"/>
    <w:rsid w:val="00F32719"/>
    <w:rsid w:val="00F3278C"/>
    <w:rsid w:val="00F32DB6"/>
    <w:rsid w:val="00F333F4"/>
    <w:rsid w:val="00F3785B"/>
    <w:rsid w:val="00F40A58"/>
    <w:rsid w:val="00F410F9"/>
    <w:rsid w:val="00F425F1"/>
    <w:rsid w:val="00F43689"/>
    <w:rsid w:val="00F437AE"/>
    <w:rsid w:val="00F45569"/>
    <w:rsid w:val="00F45E0C"/>
    <w:rsid w:val="00F45EF2"/>
    <w:rsid w:val="00F462FD"/>
    <w:rsid w:val="00F46387"/>
    <w:rsid w:val="00F46598"/>
    <w:rsid w:val="00F47828"/>
    <w:rsid w:val="00F505EA"/>
    <w:rsid w:val="00F50692"/>
    <w:rsid w:val="00F506AE"/>
    <w:rsid w:val="00F54605"/>
    <w:rsid w:val="00F54D21"/>
    <w:rsid w:val="00F61303"/>
    <w:rsid w:val="00F61A04"/>
    <w:rsid w:val="00F6307B"/>
    <w:rsid w:val="00F64E7E"/>
    <w:rsid w:val="00F65F94"/>
    <w:rsid w:val="00F66F85"/>
    <w:rsid w:val="00F67C91"/>
    <w:rsid w:val="00F67ECB"/>
    <w:rsid w:val="00F70536"/>
    <w:rsid w:val="00F70A57"/>
    <w:rsid w:val="00F715AB"/>
    <w:rsid w:val="00F746E6"/>
    <w:rsid w:val="00F75FB9"/>
    <w:rsid w:val="00F76D4B"/>
    <w:rsid w:val="00F8074A"/>
    <w:rsid w:val="00F814A6"/>
    <w:rsid w:val="00F82F09"/>
    <w:rsid w:val="00F84FC0"/>
    <w:rsid w:val="00F858AA"/>
    <w:rsid w:val="00F867EE"/>
    <w:rsid w:val="00F876EC"/>
    <w:rsid w:val="00F90371"/>
    <w:rsid w:val="00F91258"/>
    <w:rsid w:val="00F91351"/>
    <w:rsid w:val="00F91D52"/>
    <w:rsid w:val="00F923B1"/>
    <w:rsid w:val="00F93CD6"/>
    <w:rsid w:val="00F94DC0"/>
    <w:rsid w:val="00F961DA"/>
    <w:rsid w:val="00F965FD"/>
    <w:rsid w:val="00F9690C"/>
    <w:rsid w:val="00F969B8"/>
    <w:rsid w:val="00F96A49"/>
    <w:rsid w:val="00FA0EA2"/>
    <w:rsid w:val="00FA2164"/>
    <w:rsid w:val="00FA216A"/>
    <w:rsid w:val="00FA2207"/>
    <w:rsid w:val="00FA2892"/>
    <w:rsid w:val="00FA2E1A"/>
    <w:rsid w:val="00FA304C"/>
    <w:rsid w:val="00FA3F83"/>
    <w:rsid w:val="00FA4D9E"/>
    <w:rsid w:val="00FA55B4"/>
    <w:rsid w:val="00FA64B2"/>
    <w:rsid w:val="00FA64C4"/>
    <w:rsid w:val="00FA7894"/>
    <w:rsid w:val="00FA7BC0"/>
    <w:rsid w:val="00FB07CF"/>
    <w:rsid w:val="00FB1065"/>
    <w:rsid w:val="00FB3C33"/>
    <w:rsid w:val="00FB4B72"/>
    <w:rsid w:val="00FB670E"/>
    <w:rsid w:val="00FB686C"/>
    <w:rsid w:val="00FB7254"/>
    <w:rsid w:val="00FB78B8"/>
    <w:rsid w:val="00FC046F"/>
    <w:rsid w:val="00FC3E1D"/>
    <w:rsid w:val="00FC4867"/>
    <w:rsid w:val="00FC5E70"/>
    <w:rsid w:val="00FD136A"/>
    <w:rsid w:val="00FD2BC8"/>
    <w:rsid w:val="00FD47CF"/>
    <w:rsid w:val="00FD5A04"/>
    <w:rsid w:val="00FD75FA"/>
    <w:rsid w:val="00FD7CF3"/>
    <w:rsid w:val="00FD7F87"/>
    <w:rsid w:val="00FE0E83"/>
    <w:rsid w:val="00FE22BC"/>
    <w:rsid w:val="00FE3475"/>
    <w:rsid w:val="00FE4571"/>
    <w:rsid w:val="00FE5640"/>
    <w:rsid w:val="00FE6971"/>
    <w:rsid w:val="00FF07F2"/>
    <w:rsid w:val="00FF19C6"/>
    <w:rsid w:val="00FF245F"/>
    <w:rsid w:val="00FF48EE"/>
    <w:rsid w:val="00FF4A80"/>
    <w:rsid w:val="00FF5030"/>
    <w:rsid w:val="00FF5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1CE92"/>
  <w15:docId w15:val="{FA9CCFEC-BB4D-4D4E-9979-7BFE5579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A5"/>
    <w:pPr>
      <w:spacing w:line="300" w:lineRule="atLeast"/>
      <w:jc w:val="both"/>
    </w:pPr>
    <w:rPr>
      <w:rFonts w:ascii="ATRotisSemiSans" w:hAnsi="ATRotisSemiSans"/>
      <w:sz w:val="22"/>
      <w:lang w:val="en-GB" w:eastAsia="en-US"/>
    </w:rPr>
  </w:style>
  <w:style w:type="paragraph" w:styleId="Heading1">
    <w:name w:val="heading 1"/>
    <w:basedOn w:val="Normal"/>
    <w:next w:val="Normal"/>
    <w:link w:val="Heading1Char"/>
    <w:qFormat/>
    <w:rsid w:val="003504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62A5"/>
    <w:pPr>
      <w:keepNext/>
      <w:pBdr>
        <w:bottom w:val="single" w:sz="4" w:space="1" w:color="auto"/>
      </w:pBdr>
      <w:outlineLvl w:val="1"/>
    </w:pPr>
    <w:rPr>
      <w:b/>
      <w:sz w:val="18"/>
      <w:lang w:val="en-NZ"/>
    </w:rPr>
  </w:style>
  <w:style w:type="paragraph" w:styleId="Heading3">
    <w:name w:val="heading 3"/>
    <w:basedOn w:val="Normal"/>
    <w:next w:val="Normal"/>
    <w:qFormat/>
    <w:rsid w:val="003504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64B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62A5"/>
    <w:pPr>
      <w:tabs>
        <w:tab w:val="center" w:pos="4153"/>
        <w:tab w:val="right" w:pos="8306"/>
      </w:tabs>
    </w:pPr>
  </w:style>
  <w:style w:type="character" w:styleId="PageNumber">
    <w:name w:val="page number"/>
    <w:rsid w:val="00DB62A5"/>
    <w:rPr>
      <w:rFonts w:ascii="ATRotisSemiSans" w:hAnsi="ATRotisSemiSans"/>
      <w:sz w:val="22"/>
    </w:rPr>
  </w:style>
  <w:style w:type="paragraph" w:styleId="Header">
    <w:name w:val="header"/>
    <w:basedOn w:val="Normal"/>
    <w:rsid w:val="00DB62A5"/>
    <w:pPr>
      <w:tabs>
        <w:tab w:val="center" w:pos="4153"/>
        <w:tab w:val="right" w:pos="8306"/>
      </w:tabs>
    </w:pPr>
  </w:style>
  <w:style w:type="character" w:styleId="Hyperlink">
    <w:name w:val="Hyperlink"/>
    <w:uiPriority w:val="99"/>
    <w:rsid w:val="00DB62A5"/>
    <w:rPr>
      <w:color w:val="0000FF"/>
      <w:u w:val="single"/>
    </w:rPr>
  </w:style>
  <w:style w:type="table" w:styleId="TableGrid">
    <w:name w:val="Table Grid"/>
    <w:basedOn w:val="TableNormal"/>
    <w:rsid w:val="00DB62A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4793"/>
    <w:rPr>
      <w:rFonts w:ascii="Tahoma" w:hAnsi="Tahoma" w:cs="Tahoma"/>
      <w:sz w:val="16"/>
      <w:szCs w:val="16"/>
    </w:rPr>
  </w:style>
  <w:style w:type="character" w:styleId="CommentReference">
    <w:name w:val="annotation reference"/>
    <w:semiHidden/>
    <w:rsid w:val="0089185A"/>
    <w:rPr>
      <w:sz w:val="16"/>
      <w:szCs w:val="16"/>
    </w:rPr>
  </w:style>
  <w:style w:type="paragraph" w:styleId="CommentText">
    <w:name w:val="annotation text"/>
    <w:basedOn w:val="Normal"/>
    <w:semiHidden/>
    <w:rsid w:val="0089185A"/>
    <w:rPr>
      <w:sz w:val="20"/>
    </w:rPr>
  </w:style>
  <w:style w:type="paragraph" w:styleId="CommentSubject">
    <w:name w:val="annotation subject"/>
    <w:basedOn w:val="CommentText"/>
    <w:next w:val="CommentText"/>
    <w:semiHidden/>
    <w:rsid w:val="0089185A"/>
    <w:rPr>
      <w:b/>
      <w:bCs/>
    </w:rPr>
  </w:style>
  <w:style w:type="paragraph" w:styleId="DocumentMap">
    <w:name w:val="Document Map"/>
    <w:basedOn w:val="Normal"/>
    <w:semiHidden/>
    <w:rsid w:val="00FA64C4"/>
    <w:pPr>
      <w:shd w:val="clear" w:color="auto" w:fill="000080"/>
    </w:pPr>
    <w:rPr>
      <w:rFonts w:ascii="Tahoma" w:hAnsi="Tahoma" w:cs="Tahoma"/>
      <w:sz w:val="20"/>
    </w:rPr>
  </w:style>
  <w:style w:type="paragraph" w:styleId="Quote">
    <w:name w:val="Quote"/>
    <w:basedOn w:val="Normal"/>
    <w:link w:val="QuoteChar"/>
    <w:qFormat/>
    <w:rsid w:val="00703079"/>
    <w:pPr>
      <w:spacing w:before="240" w:line="240" w:lineRule="auto"/>
      <w:ind w:left="1701" w:right="986"/>
    </w:pPr>
    <w:rPr>
      <w:rFonts w:ascii="Arial" w:hAnsi="Arial" w:cs="Arial"/>
      <w:sz w:val="18"/>
    </w:rPr>
  </w:style>
  <w:style w:type="character" w:customStyle="1" w:styleId="QuoteChar">
    <w:name w:val="Quote Char"/>
    <w:link w:val="Quote"/>
    <w:rsid w:val="00703079"/>
    <w:rPr>
      <w:rFonts w:ascii="Arial" w:hAnsi="Arial" w:cs="Arial"/>
      <w:sz w:val="18"/>
      <w:lang w:val="en-GB" w:eastAsia="en-US" w:bidi="ar-SA"/>
    </w:r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qFormat/>
    <w:rsid w:val="00424EF3"/>
    <w:pPr>
      <w:spacing w:line="240" w:lineRule="auto"/>
    </w:pPr>
    <w:rPr>
      <w:rFonts w:ascii="Arial" w:hAnsi="Arial"/>
      <w:sz w:val="18"/>
    </w:rPr>
  </w:style>
  <w:style w:type="character" w:styleId="FootnoteReference">
    <w:name w:val="footnote reference"/>
    <w:aliases w:val="(NECG) Footnote Reference,(NECG) Footnote Reference1,(NECG) Footnote Reference2,o,Style 3,Style 12,fr,Appel note de bas de p,Style 124,(NECG) Footnote Reference3,(NECG) Footnote Reference4,(NECG) Footnote Reference5,(NECG) Footnote"/>
    <w:rsid w:val="00424EF3"/>
    <w:rPr>
      <w:vertAlign w:val="superscript"/>
    </w:rPr>
  </w:style>
  <w:style w:type="paragraph" w:styleId="TOC3">
    <w:name w:val="toc 3"/>
    <w:basedOn w:val="Normal"/>
    <w:next w:val="Normal"/>
    <w:autoRedefine/>
    <w:semiHidden/>
    <w:rsid w:val="00350439"/>
    <w:pPr>
      <w:ind w:left="440"/>
    </w:pPr>
  </w:style>
  <w:style w:type="paragraph" w:styleId="TOC1">
    <w:name w:val="toc 1"/>
    <w:basedOn w:val="Normal"/>
    <w:next w:val="Normal"/>
    <w:autoRedefine/>
    <w:uiPriority w:val="39"/>
    <w:rsid w:val="0018286C"/>
    <w:pPr>
      <w:tabs>
        <w:tab w:val="right" w:leader="dot" w:pos="8438"/>
      </w:tabs>
      <w:ind w:right="454"/>
    </w:pPr>
  </w:style>
  <w:style w:type="paragraph" w:styleId="ListParagraph">
    <w:name w:val="List Paragraph"/>
    <w:basedOn w:val="Normal"/>
    <w:uiPriority w:val="34"/>
    <w:qFormat/>
    <w:rsid w:val="00BE5C2D"/>
    <w:pPr>
      <w:ind w:left="720"/>
    </w:p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link w:val="FootnoteText"/>
    <w:rsid w:val="004C6334"/>
    <w:rPr>
      <w:rFonts w:ascii="Arial" w:hAnsi="Arial" w:cs="Arial"/>
      <w:sz w:val="18"/>
      <w:lang w:eastAsia="en-US"/>
    </w:rPr>
  </w:style>
  <w:style w:type="paragraph" w:customStyle="1" w:styleId="Default">
    <w:name w:val="Default"/>
    <w:rsid w:val="004C6334"/>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164B6E"/>
    <w:rPr>
      <w:rFonts w:asciiTheme="majorHAnsi" w:eastAsiaTheme="majorEastAsia" w:hAnsiTheme="majorHAnsi" w:cstheme="majorBidi"/>
      <w:b/>
      <w:bCs/>
      <w:i/>
      <w:iCs/>
      <w:color w:val="4F81BD" w:themeColor="accent1"/>
      <w:sz w:val="22"/>
      <w:lang w:val="en-GB" w:eastAsia="en-US"/>
    </w:rPr>
  </w:style>
  <w:style w:type="character" w:customStyle="1" w:styleId="Heading1Char">
    <w:name w:val="Heading 1 Char"/>
    <w:basedOn w:val="DefaultParagraphFont"/>
    <w:link w:val="Heading1"/>
    <w:rsid w:val="00164B6E"/>
    <w:rPr>
      <w:rFonts w:ascii="Arial" w:hAnsi="Arial" w:cs="Arial"/>
      <w:b/>
      <w:bCs/>
      <w:kern w:val="32"/>
      <w:sz w:val="32"/>
      <w:szCs w:val="32"/>
      <w:lang w:val="en-GB" w:eastAsia="en-US"/>
    </w:rPr>
  </w:style>
  <w:style w:type="paragraph" w:customStyle="1" w:styleId="Quotation">
    <w:name w:val="Quotation"/>
    <w:basedOn w:val="Normal"/>
    <w:rsid w:val="00164B6E"/>
    <w:pPr>
      <w:spacing w:after="170" w:line="260" w:lineRule="atLeast"/>
      <w:ind w:left="227"/>
      <w:jc w:val="left"/>
    </w:pPr>
    <w:rPr>
      <w:rFonts w:ascii="Garamond" w:hAnsi="Garamond"/>
      <w:i/>
      <w:spacing w:val="15"/>
      <w:sz w:val="21"/>
      <w:lang w:val="en-US"/>
    </w:rPr>
  </w:style>
  <w:style w:type="paragraph" w:customStyle="1" w:styleId="ListStartNumtextBodytext">
    <w:name w:val="ListStart Numtext: Body text"/>
    <w:next w:val="Numtext1-Bodytextlevel1"/>
    <w:rsid w:val="00164B6E"/>
    <w:pPr>
      <w:keepNext/>
      <w:keepLines/>
      <w:framePr w:wrap="around" w:vAnchor="text" w:hAnchor="text" w:x="-565" w:y="1"/>
      <w:widowControl w:val="0"/>
      <w:numPr>
        <w:numId w:val="35"/>
      </w:numPr>
    </w:pPr>
    <w:rPr>
      <w:rFonts w:ascii="Garamond" w:hAnsi="Garamond"/>
      <w:color w:val="800080"/>
      <w:sz w:val="18"/>
      <w:szCs w:val="22"/>
    </w:rPr>
  </w:style>
  <w:style w:type="paragraph" w:customStyle="1" w:styleId="Numtext1-Bodytextlevel1">
    <w:name w:val="Num text: 1. - Body text level 1"/>
    <w:basedOn w:val="Normal"/>
    <w:qFormat/>
    <w:rsid w:val="00164B6E"/>
    <w:pPr>
      <w:numPr>
        <w:ilvl w:val="1"/>
        <w:numId w:val="35"/>
      </w:numPr>
      <w:spacing w:after="170" w:line="260" w:lineRule="atLeast"/>
      <w:jc w:val="left"/>
    </w:pPr>
    <w:rPr>
      <w:rFonts w:ascii="Garamond" w:hAnsi="Garamond"/>
      <w:szCs w:val="24"/>
      <w:lang w:val="en-US"/>
    </w:rPr>
  </w:style>
  <w:style w:type="paragraph" w:customStyle="1" w:styleId="Numtexta-Bodytextlevel2">
    <w:name w:val="Num text: (a) - Body text level 2"/>
    <w:basedOn w:val="Normal"/>
    <w:rsid w:val="00164B6E"/>
    <w:pPr>
      <w:numPr>
        <w:ilvl w:val="2"/>
        <w:numId w:val="35"/>
      </w:numPr>
      <w:spacing w:after="170" w:line="260" w:lineRule="atLeast"/>
      <w:jc w:val="left"/>
    </w:pPr>
    <w:rPr>
      <w:rFonts w:ascii="Garamond" w:hAnsi="Garamond"/>
      <w:lang w:val="en-US"/>
    </w:rPr>
  </w:style>
  <w:style w:type="paragraph" w:customStyle="1" w:styleId="NumtextBullet1">
    <w:name w:val="Num text: Bullet 1"/>
    <w:basedOn w:val="Normal"/>
    <w:rsid w:val="00164B6E"/>
    <w:pPr>
      <w:numPr>
        <w:numId w:val="34"/>
      </w:numPr>
      <w:spacing w:after="80" w:line="260" w:lineRule="atLeast"/>
      <w:jc w:val="left"/>
    </w:pPr>
    <w:rPr>
      <w:rFonts w:ascii="Garamond" w:hAnsi="Garamond"/>
      <w:lang w:val="en-US"/>
    </w:rPr>
  </w:style>
  <w:style w:type="paragraph" w:customStyle="1" w:styleId="NumtextBullet2">
    <w:name w:val="Num text: Bullet 2"/>
    <w:basedOn w:val="Normal"/>
    <w:rsid w:val="00164B6E"/>
    <w:pPr>
      <w:numPr>
        <w:ilvl w:val="1"/>
        <w:numId w:val="34"/>
      </w:numPr>
      <w:spacing w:after="80" w:line="260" w:lineRule="atLeast"/>
      <w:jc w:val="left"/>
    </w:pPr>
    <w:rPr>
      <w:rFonts w:ascii="Garamond" w:hAnsi="Garamond"/>
      <w:szCs w:val="24"/>
      <w:lang w:val="en-US"/>
    </w:rPr>
  </w:style>
  <w:style w:type="paragraph" w:customStyle="1" w:styleId="Numtexti-Bodytextlevel3">
    <w:name w:val="Num text: (i) - Body text level 3"/>
    <w:basedOn w:val="Normal"/>
    <w:rsid w:val="00164B6E"/>
    <w:pPr>
      <w:numPr>
        <w:ilvl w:val="3"/>
        <w:numId w:val="35"/>
      </w:numPr>
      <w:spacing w:after="170" w:line="260" w:lineRule="atLeast"/>
      <w:jc w:val="left"/>
    </w:pPr>
    <w:rPr>
      <w:rFonts w:ascii="Garamond" w:hAnsi="Garamond"/>
      <w:lang w:val="en-US"/>
    </w:rPr>
  </w:style>
  <w:style w:type="paragraph" w:customStyle="1" w:styleId="NumtextBullet3">
    <w:name w:val="Num text: Bullet 3"/>
    <w:basedOn w:val="Normal"/>
    <w:rsid w:val="00164B6E"/>
    <w:pPr>
      <w:numPr>
        <w:ilvl w:val="2"/>
        <w:numId w:val="34"/>
      </w:numPr>
      <w:spacing w:before="60" w:after="60" w:line="260" w:lineRule="atLeast"/>
      <w:jc w:val="left"/>
    </w:pPr>
    <w:rPr>
      <w:rFonts w:ascii="Garamond" w:hAnsi="Garamond"/>
      <w:lang w:val="en-US"/>
    </w:rPr>
  </w:style>
  <w:style w:type="paragraph" w:styleId="Revision">
    <w:name w:val="Revision"/>
    <w:hidden/>
    <w:uiPriority w:val="99"/>
    <w:semiHidden/>
    <w:rsid w:val="00C670F4"/>
    <w:rPr>
      <w:rFonts w:ascii="ATRotisSemiSans" w:hAnsi="ATRotisSemiSans"/>
      <w:sz w:val="22"/>
      <w:lang w:val="en-GB" w:eastAsia="en-US"/>
    </w:rPr>
  </w:style>
  <w:style w:type="character" w:customStyle="1" w:styleId="FootnoteTextChar1">
    <w:name w:val="Footnote Text Char1"/>
    <w:aliases w:val="Footnote Text1 Char1,Footnote Text2 Char1,ALTS FOOTNOTE2 Char1,Footnote Text11 Char1,(NECG) Footnote Text Char1,(NECG) Footnote Text1 Char1,ALTS FOOTNOTE Char1,Footnote text Char1,AR Footnote Text Char1,f Char1"/>
    <w:basedOn w:val="DefaultParagraphFont"/>
    <w:uiPriority w:val="99"/>
    <w:semiHidden/>
    <w:locked/>
    <w:rsid w:val="001E3D19"/>
    <w:rPr>
      <w:rFonts w:ascii="Arial" w:eastAsiaTheme="minorHAnsi" w:hAnsi="Arial" w:cs="Arial"/>
      <w:sz w:val="18"/>
      <w:szCs w:val="18"/>
    </w:rPr>
  </w:style>
  <w:style w:type="character" w:styleId="FollowedHyperlink">
    <w:name w:val="FollowedHyperlink"/>
    <w:basedOn w:val="DefaultParagraphFont"/>
    <w:semiHidden/>
    <w:unhideWhenUsed/>
    <w:rsid w:val="004F47A9"/>
    <w:rPr>
      <w:color w:val="800080" w:themeColor="followedHyperlink"/>
      <w:u w:val="single"/>
    </w:rPr>
  </w:style>
  <w:style w:type="paragraph" w:customStyle="1" w:styleId="Subheading">
    <w:name w:val="Sub heading"/>
    <w:basedOn w:val="Normal"/>
    <w:next w:val="Normal"/>
    <w:rsid w:val="00D534DA"/>
    <w:pPr>
      <w:keepNext/>
      <w:spacing w:before="240" w:line="240" w:lineRule="auto"/>
      <w:ind w:left="850"/>
    </w:pPr>
    <w:rPr>
      <w:rFonts w:ascii="Arial" w:hAnsi="Arial" w:cs="Arial"/>
      <w:b/>
      <w:sz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7154">
      <w:bodyDiv w:val="1"/>
      <w:marLeft w:val="0"/>
      <w:marRight w:val="0"/>
      <w:marTop w:val="0"/>
      <w:marBottom w:val="0"/>
      <w:divBdr>
        <w:top w:val="none" w:sz="0" w:space="0" w:color="auto"/>
        <w:left w:val="none" w:sz="0" w:space="0" w:color="auto"/>
        <w:bottom w:val="none" w:sz="0" w:space="0" w:color="auto"/>
        <w:right w:val="none" w:sz="0" w:space="0" w:color="auto"/>
      </w:divBdr>
    </w:div>
    <w:div w:id="854417862">
      <w:bodyDiv w:val="1"/>
      <w:marLeft w:val="0"/>
      <w:marRight w:val="0"/>
      <w:marTop w:val="0"/>
      <w:marBottom w:val="0"/>
      <w:divBdr>
        <w:top w:val="none" w:sz="0" w:space="0" w:color="auto"/>
        <w:left w:val="none" w:sz="0" w:space="0" w:color="auto"/>
        <w:bottom w:val="none" w:sz="0" w:space="0" w:color="auto"/>
        <w:right w:val="none" w:sz="0" w:space="0" w:color="auto"/>
      </w:divBdr>
    </w:div>
    <w:div w:id="1099760971">
      <w:bodyDiv w:val="1"/>
      <w:marLeft w:val="0"/>
      <w:marRight w:val="0"/>
      <w:marTop w:val="0"/>
      <w:marBottom w:val="0"/>
      <w:divBdr>
        <w:top w:val="none" w:sz="0" w:space="0" w:color="auto"/>
        <w:left w:val="none" w:sz="0" w:space="0" w:color="auto"/>
        <w:bottom w:val="none" w:sz="0" w:space="0" w:color="auto"/>
        <w:right w:val="none" w:sz="0" w:space="0" w:color="auto"/>
      </w:divBdr>
    </w:div>
    <w:div w:id="1389302995">
      <w:bodyDiv w:val="1"/>
      <w:marLeft w:val="0"/>
      <w:marRight w:val="0"/>
      <w:marTop w:val="0"/>
      <w:marBottom w:val="0"/>
      <w:divBdr>
        <w:top w:val="none" w:sz="0" w:space="0" w:color="auto"/>
        <w:left w:val="none" w:sz="0" w:space="0" w:color="auto"/>
        <w:bottom w:val="none" w:sz="0" w:space="0" w:color="auto"/>
        <w:right w:val="none" w:sz="0" w:space="0" w:color="auto"/>
      </w:divBdr>
    </w:div>
    <w:div w:id="1550918528">
      <w:bodyDiv w:val="1"/>
      <w:marLeft w:val="0"/>
      <w:marRight w:val="0"/>
      <w:marTop w:val="0"/>
      <w:marBottom w:val="0"/>
      <w:divBdr>
        <w:top w:val="none" w:sz="0" w:space="0" w:color="auto"/>
        <w:left w:val="none" w:sz="0" w:space="0" w:color="auto"/>
        <w:bottom w:val="none" w:sz="0" w:space="0" w:color="auto"/>
        <w:right w:val="none" w:sz="0" w:space="0" w:color="auto"/>
      </w:divBdr>
    </w:div>
    <w:div w:id="21013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lan.carvell@vector.co.n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ystems%20&amp;%20Processes\RA%20Submission%20Process\Vecto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1742-FD44-4AFA-A7AE-31F6D18068F8}">
  <ds:schemaRefs>
    <ds:schemaRef ds:uri="http://schemas.openxmlformats.org/officeDocument/2006/bibliography"/>
  </ds:schemaRefs>
</ds:datastoreItem>
</file>

<file path=customXml/itemProps2.xml><?xml version="1.0" encoding="utf-8"?>
<ds:datastoreItem xmlns:ds="http://schemas.openxmlformats.org/officeDocument/2006/customXml" ds:itemID="{12EF3177-EF6A-4CEE-909B-5DCC541F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Vector Submission Template</Template>
  <TotalTime>46</TotalTime>
  <Pages>14</Pages>
  <Words>4604</Words>
  <Characters>25118</Characters>
  <Application>Microsoft Office Word</Application>
  <DocSecurity>0</DocSecurity>
  <PresentationFormat/>
  <Lines>209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29663</CharactersWithSpaces>
  <SharedDoc>false</SharedDoc>
  <HyperlinkBase/>
  <HLinks>
    <vt:vector size="78" baseType="variant">
      <vt:variant>
        <vt:i4>4980860</vt:i4>
      </vt:variant>
      <vt:variant>
        <vt:i4>68</vt:i4>
      </vt:variant>
      <vt:variant>
        <vt:i4>0</vt:i4>
      </vt:variant>
      <vt:variant>
        <vt:i4>5</vt:i4>
      </vt:variant>
      <vt:variant>
        <vt:lpwstr>mailto:allan.carvell@vector.co.nz</vt:lpwstr>
      </vt:variant>
      <vt:variant>
        <vt:lpwstr/>
      </vt:variant>
      <vt:variant>
        <vt:i4>1703984</vt:i4>
      </vt:variant>
      <vt:variant>
        <vt:i4>61</vt:i4>
      </vt:variant>
      <vt:variant>
        <vt:i4>0</vt:i4>
      </vt:variant>
      <vt:variant>
        <vt:i4>5</vt:i4>
      </vt:variant>
      <vt:variant>
        <vt:lpwstr/>
      </vt:variant>
      <vt:variant>
        <vt:lpwstr>_Toc382310062</vt:lpwstr>
      </vt:variant>
      <vt:variant>
        <vt:i4>1703984</vt:i4>
      </vt:variant>
      <vt:variant>
        <vt:i4>55</vt:i4>
      </vt:variant>
      <vt:variant>
        <vt:i4>0</vt:i4>
      </vt:variant>
      <vt:variant>
        <vt:i4>5</vt:i4>
      </vt:variant>
      <vt:variant>
        <vt:lpwstr/>
      </vt:variant>
      <vt:variant>
        <vt:lpwstr>_Toc382310061</vt:lpwstr>
      </vt:variant>
      <vt:variant>
        <vt:i4>1703984</vt:i4>
      </vt:variant>
      <vt:variant>
        <vt:i4>49</vt:i4>
      </vt:variant>
      <vt:variant>
        <vt:i4>0</vt:i4>
      </vt:variant>
      <vt:variant>
        <vt:i4>5</vt:i4>
      </vt:variant>
      <vt:variant>
        <vt:lpwstr/>
      </vt:variant>
      <vt:variant>
        <vt:lpwstr>_Toc382310060</vt:lpwstr>
      </vt:variant>
      <vt:variant>
        <vt:i4>1638448</vt:i4>
      </vt:variant>
      <vt:variant>
        <vt:i4>43</vt:i4>
      </vt:variant>
      <vt:variant>
        <vt:i4>0</vt:i4>
      </vt:variant>
      <vt:variant>
        <vt:i4>5</vt:i4>
      </vt:variant>
      <vt:variant>
        <vt:lpwstr/>
      </vt:variant>
      <vt:variant>
        <vt:lpwstr>_Toc382310059</vt:lpwstr>
      </vt:variant>
      <vt:variant>
        <vt:i4>1638448</vt:i4>
      </vt:variant>
      <vt:variant>
        <vt:i4>37</vt:i4>
      </vt:variant>
      <vt:variant>
        <vt:i4>0</vt:i4>
      </vt:variant>
      <vt:variant>
        <vt:i4>5</vt:i4>
      </vt:variant>
      <vt:variant>
        <vt:lpwstr/>
      </vt:variant>
      <vt:variant>
        <vt:lpwstr>_Toc382310058</vt:lpwstr>
      </vt:variant>
      <vt:variant>
        <vt:i4>1638448</vt:i4>
      </vt:variant>
      <vt:variant>
        <vt:i4>31</vt:i4>
      </vt:variant>
      <vt:variant>
        <vt:i4>0</vt:i4>
      </vt:variant>
      <vt:variant>
        <vt:i4>5</vt:i4>
      </vt:variant>
      <vt:variant>
        <vt:lpwstr/>
      </vt:variant>
      <vt:variant>
        <vt:lpwstr>_Toc382310057</vt:lpwstr>
      </vt:variant>
      <vt:variant>
        <vt:i4>1638448</vt:i4>
      </vt:variant>
      <vt:variant>
        <vt:i4>25</vt:i4>
      </vt:variant>
      <vt:variant>
        <vt:i4>0</vt:i4>
      </vt:variant>
      <vt:variant>
        <vt:i4>5</vt:i4>
      </vt:variant>
      <vt:variant>
        <vt:lpwstr/>
      </vt:variant>
      <vt:variant>
        <vt:lpwstr>_Toc382310056</vt:lpwstr>
      </vt:variant>
      <vt:variant>
        <vt:i4>1638448</vt:i4>
      </vt:variant>
      <vt:variant>
        <vt:i4>19</vt:i4>
      </vt:variant>
      <vt:variant>
        <vt:i4>0</vt:i4>
      </vt:variant>
      <vt:variant>
        <vt:i4>5</vt:i4>
      </vt:variant>
      <vt:variant>
        <vt:lpwstr/>
      </vt:variant>
      <vt:variant>
        <vt:lpwstr>_Toc382310055</vt:lpwstr>
      </vt:variant>
      <vt:variant>
        <vt:i4>1638448</vt:i4>
      </vt:variant>
      <vt:variant>
        <vt:i4>13</vt:i4>
      </vt:variant>
      <vt:variant>
        <vt:i4>0</vt:i4>
      </vt:variant>
      <vt:variant>
        <vt:i4>5</vt:i4>
      </vt:variant>
      <vt:variant>
        <vt:lpwstr/>
      </vt:variant>
      <vt:variant>
        <vt:lpwstr>_Toc382310054</vt:lpwstr>
      </vt:variant>
      <vt:variant>
        <vt:i4>1638448</vt:i4>
      </vt:variant>
      <vt:variant>
        <vt:i4>7</vt:i4>
      </vt:variant>
      <vt:variant>
        <vt:i4>0</vt:i4>
      </vt:variant>
      <vt:variant>
        <vt:i4>5</vt:i4>
      </vt:variant>
      <vt:variant>
        <vt:lpwstr/>
      </vt:variant>
      <vt:variant>
        <vt:lpwstr>_Toc382310053</vt:lpwstr>
      </vt:variant>
      <vt:variant>
        <vt:i4>1638448</vt:i4>
      </vt:variant>
      <vt:variant>
        <vt:i4>4</vt:i4>
      </vt:variant>
      <vt:variant>
        <vt:i4>0</vt:i4>
      </vt:variant>
      <vt:variant>
        <vt:i4>5</vt:i4>
      </vt:variant>
      <vt:variant>
        <vt:lpwstr/>
      </vt:variant>
      <vt:variant>
        <vt:lpwstr>_Toc382310052</vt:lpwstr>
      </vt:variant>
      <vt:variant>
        <vt:i4>7798810</vt:i4>
      </vt:variant>
      <vt:variant>
        <vt:i4>3</vt:i4>
      </vt:variant>
      <vt:variant>
        <vt:i4>0</vt:i4>
      </vt:variant>
      <vt:variant>
        <vt:i4>5</vt:i4>
      </vt:variant>
      <vt:variant>
        <vt:lpwstr>http://www.aer.gov.au/sites/default/files/AER Explanatory statement - appendices - rate of return guideline - December 2013_0.pdf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RMMB</dc:creator>
  <cp:keywords/>
  <dc:description/>
  <cp:lastModifiedBy>Ian Ferguson</cp:lastModifiedBy>
  <cp:revision>14</cp:revision>
  <cp:lastPrinted>2014-04-29T03:36:00Z</cp:lastPrinted>
  <dcterms:created xsi:type="dcterms:W3CDTF">2014-05-01T02:43:00Z</dcterms:created>
  <dcterms:modified xsi:type="dcterms:W3CDTF">2014-05-05T04:23:00Z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2710957</vt:lpwstr>
  </property>
  <property fmtid="{D5CDD505-2E9C-101B-9397-08002B2CF9AE}" pid="3" name="PCDocsLibrary">
    <vt:lpwstr> </vt:lpwstr>
  </property>
  <property fmtid="{D5CDD505-2E9C-101B-9397-08002B2CF9AE}" pid="4" name="PCDocsVersion">
    <vt:lpwstr>v4</vt:lpwstr>
  </property>
</Properties>
</file>